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5FFDE" w14:textId="69D2C277" w:rsidR="00392781" w:rsidRPr="00061B82" w:rsidRDefault="006B7EE5" w:rsidP="006929B8">
      <w:pPr>
        <w:jc w:val="both"/>
        <w:rPr>
          <w:rFonts w:ascii="Arial" w:hAnsi="Arial" w:cs="Arial"/>
          <w:b/>
          <w:sz w:val="24"/>
          <w:szCs w:val="24"/>
        </w:rPr>
      </w:pPr>
      <w:r w:rsidRPr="00061B82">
        <w:rPr>
          <w:rFonts w:ascii="Arial" w:hAnsi="Arial" w:cs="Arial"/>
          <w:b/>
          <w:sz w:val="24"/>
          <w:szCs w:val="24"/>
        </w:rPr>
        <w:t>Development Control Committee</w:t>
      </w:r>
      <w:r w:rsidR="00DA4220" w:rsidRPr="00061B82">
        <w:rPr>
          <w:rFonts w:ascii="Arial" w:hAnsi="Arial" w:cs="Arial"/>
          <w:b/>
          <w:sz w:val="24"/>
          <w:szCs w:val="24"/>
        </w:rPr>
        <w:t xml:space="preserve"> </w:t>
      </w:r>
      <w:r w:rsidR="00F340D3" w:rsidRPr="00061B82">
        <w:rPr>
          <w:rFonts w:ascii="Arial" w:hAnsi="Arial" w:cs="Arial"/>
          <w:b/>
          <w:sz w:val="24"/>
          <w:szCs w:val="24"/>
        </w:rPr>
        <w:t>–</w:t>
      </w:r>
      <w:r w:rsidR="00DA4220" w:rsidRPr="00061B82">
        <w:rPr>
          <w:rFonts w:ascii="Arial" w:hAnsi="Arial" w:cs="Arial"/>
          <w:b/>
          <w:sz w:val="24"/>
          <w:szCs w:val="24"/>
        </w:rPr>
        <w:t xml:space="preserve"> </w:t>
      </w:r>
      <w:r w:rsidR="00597A11" w:rsidRPr="00061B82">
        <w:rPr>
          <w:rFonts w:ascii="Arial" w:hAnsi="Arial" w:cs="Arial"/>
          <w:b/>
          <w:sz w:val="24"/>
          <w:szCs w:val="24"/>
        </w:rPr>
        <w:t xml:space="preserve">7 </w:t>
      </w:r>
      <w:r w:rsidR="00AD16AA" w:rsidRPr="00061B82">
        <w:rPr>
          <w:rFonts w:ascii="Arial" w:hAnsi="Arial" w:cs="Arial"/>
          <w:b/>
          <w:sz w:val="24"/>
          <w:szCs w:val="24"/>
        </w:rPr>
        <w:t>December</w:t>
      </w:r>
      <w:r w:rsidR="00597A11" w:rsidRPr="00061B82">
        <w:rPr>
          <w:rFonts w:ascii="Arial" w:hAnsi="Arial" w:cs="Arial"/>
          <w:b/>
          <w:sz w:val="24"/>
          <w:szCs w:val="24"/>
        </w:rPr>
        <w:t xml:space="preserve"> 2022</w:t>
      </w:r>
    </w:p>
    <w:p w14:paraId="7155E41A" w14:textId="77777777" w:rsidR="006E3F6F" w:rsidRPr="00061B82" w:rsidRDefault="006E3F6F" w:rsidP="006929B8">
      <w:pPr>
        <w:jc w:val="both"/>
        <w:rPr>
          <w:rFonts w:ascii="Arial" w:hAnsi="Arial" w:cs="Arial"/>
          <w:b/>
          <w:sz w:val="24"/>
          <w:szCs w:val="24"/>
        </w:rPr>
      </w:pPr>
      <w:r w:rsidRPr="00061B82">
        <w:rPr>
          <w:rFonts w:ascii="Arial" w:hAnsi="Arial" w:cs="Arial"/>
          <w:b/>
          <w:sz w:val="24"/>
          <w:szCs w:val="24"/>
        </w:rPr>
        <w:t>Update Sheet</w:t>
      </w:r>
    </w:p>
    <w:p w14:paraId="3115AB9B" w14:textId="32B9496F" w:rsidR="00D1648C" w:rsidRPr="00061B82" w:rsidRDefault="00986CD7" w:rsidP="006929B8">
      <w:pPr>
        <w:spacing w:after="0"/>
        <w:jc w:val="both"/>
        <w:rPr>
          <w:rFonts w:ascii="Arial" w:hAnsi="Arial" w:cs="Arial"/>
          <w:b/>
          <w:sz w:val="24"/>
          <w:szCs w:val="24"/>
        </w:rPr>
      </w:pPr>
      <w:r w:rsidRPr="00061B82">
        <w:rPr>
          <w:rFonts w:ascii="Arial" w:hAnsi="Arial" w:cs="Arial"/>
          <w:b/>
          <w:sz w:val="24"/>
          <w:szCs w:val="24"/>
        </w:rPr>
        <w:t xml:space="preserve">Item </w:t>
      </w:r>
      <w:r w:rsidR="00AD16AA" w:rsidRPr="00061B82">
        <w:rPr>
          <w:rFonts w:ascii="Arial" w:hAnsi="Arial" w:cs="Arial"/>
          <w:b/>
          <w:sz w:val="24"/>
          <w:szCs w:val="24"/>
        </w:rPr>
        <w:t>5</w:t>
      </w:r>
      <w:r w:rsidR="0082235F" w:rsidRPr="00061B82">
        <w:rPr>
          <w:rFonts w:ascii="Arial" w:hAnsi="Arial" w:cs="Arial"/>
          <w:b/>
          <w:sz w:val="24"/>
          <w:szCs w:val="24"/>
        </w:rPr>
        <w:t xml:space="preserve"> – </w:t>
      </w:r>
      <w:r w:rsidR="00E904B8" w:rsidRPr="00061B82">
        <w:rPr>
          <w:rFonts w:ascii="Arial" w:hAnsi="Arial" w:cs="Arial"/>
          <w:b/>
          <w:sz w:val="24"/>
          <w:szCs w:val="24"/>
        </w:rPr>
        <w:t>Application LCC/202</w:t>
      </w:r>
      <w:r w:rsidR="00597A11" w:rsidRPr="00061B82">
        <w:rPr>
          <w:rFonts w:ascii="Arial" w:hAnsi="Arial" w:cs="Arial"/>
          <w:b/>
          <w:sz w:val="24"/>
          <w:szCs w:val="24"/>
        </w:rPr>
        <w:t>2/003</w:t>
      </w:r>
      <w:r w:rsidR="00E904B8" w:rsidRPr="00061B82">
        <w:rPr>
          <w:rFonts w:ascii="Arial" w:hAnsi="Arial" w:cs="Arial"/>
          <w:b/>
          <w:sz w:val="24"/>
          <w:szCs w:val="24"/>
        </w:rPr>
        <w:t xml:space="preserve"> </w:t>
      </w:r>
      <w:r w:rsidR="00C2595A" w:rsidRPr="00061B82">
        <w:rPr>
          <w:rFonts w:ascii="Arial" w:hAnsi="Arial" w:cs="Arial"/>
          <w:b/>
          <w:sz w:val="24"/>
          <w:szCs w:val="24"/>
        </w:rPr>
        <w:t>–</w:t>
      </w:r>
      <w:r w:rsidR="00E904B8" w:rsidRPr="00061B82">
        <w:rPr>
          <w:rFonts w:ascii="Arial" w:hAnsi="Arial" w:cs="Arial"/>
          <w:b/>
          <w:sz w:val="24"/>
          <w:szCs w:val="24"/>
        </w:rPr>
        <w:t xml:space="preserve"> </w:t>
      </w:r>
      <w:r w:rsidR="00597A11" w:rsidRPr="00061B82">
        <w:rPr>
          <w:rFonts w:ascii="Arial" w:hAnsi="Arial" w:cs="Arial"/>
          <w:b/>
          <w:sz w:val="24"/>
          <w:szCs w:val="24"/>
        </w:rPr>
        <w:t>Proposed medical waste treatment facility, Simonswood industrial Estate, Stopgate Lane, Kirkby</w:t>
      </w:r>
    </w:p>
    <w:p w14:paraId="500074D6" w14:textId="7AFE3049" w:rsidR="00986CD7" w:rsidRPr="00061B82" w:rsidRDefault="00986CD7" w:rsidP="006929B8">
      <w:pPr>
        <w:spacing w:after="0"/>
        <w:jc w:val="both"/>
        <w:rPr>
          <w:rFonts w:ascii="Arial" w:hAnsi="Arial" w:cs="Arial"/>
          <w:b/>
          <w:sz w:val="24"/>
          <w:szCs w:val="24"/>
        </w:rPr>
      </w:pPr>
    </w:p>
    <w:p w14:paraId="2E54B986" w14:textId="113ED412" w:rsidR="005A3191" w:rsidRPr="00061B82" w:rsidRDefault="00AD16AA" w:rsidP="00597A11">
      <w:pPr>
        <w:spacing w:after="0"/>
        <w:jc w:val="both"/>
        <w:rPr>
          <w:rFonts w:ascii="Arial" w:hAnsi="Arial" w:cs="Arial"/>
          <w:bCs/>
          <w:sz w:val="24"/>
          <w:szCs w:val="24"/>
        </w:rPr>
      </w:pPr>
      <w:r w:rsidRPr="00061B82">
        <w:rPr>
          <w:rFonts w:ascii="Arial" w:hAnsi="Arial" w:cs="Arial"/>
          <w:bCs/>
          <w:sz w:val="24"/>
          <w:szCs w:val="24"/>
        </w:rPr>
        <w:t xml:space="preserve">Since the committee report was prepared the following further representations have been received. The representations from </w:t>
      </w:r>
      <w:r w:rsidR="009F5840" w:rsidRPr="00061B82">
        <w:rPr>
          <w:rFonts w:ascii="Arial" w:hAnsi="Arial" w:cs="Arial"/>
          <w:bCs/>
          <w:sz w:val="24"/>
          <w:szCs w:val="24"/>
        </w:rPr>
        <w:t>'Stop the Simonswood Incinerator</w:t>
      </w:r>
      <w:r w:rsidR="007665D4" w:rsidRPr="00061B82">
        <w:rPr>
          <w:rFonts w:ascii="Arial" w:hAnsi="Arial" w:cs="Arial"/>
          <w:bCs/>
          <w:sz w:val="24"/>
          <w:szCs w:val="24"/>
        </w:rPr>
        <w:t xml:space="preserve"> Action Group</w:t>
      </w:r>
      <w:r w:rsidR="009F5840" w:rsidRPr="00061B82">
        <w:rPr>
          <w:rFonts w:ascii="Arial" w:hAnsi="Arial" w:cs="Arial"/>
          <w:bCs/>
          <w:sz w:val="24"/>
          <w:szCs w:val="24"/>
        </w:rPr>
        <w:t>' and Knowsley Council have already been circulated to members of the Committee directly so the following is a summary of the comments made.</w:t>
      </w:r>
    </w:p>
    <w:p w14:paraId="460B3376" w14:textId="36C1FE2D" w:rsidR="009F5840" w:rsidRPr="00061B82" w:rsidRDefault="009F5840" w:rsidP="00597A11">
      <w:pPr>
        <w:spacing w:after="0"/>
        <w:jc w:val="both"/>
        <w:rPr>
          <w:rFonts w:ascii="Arial" w:hAnsi="Arial" w:cs="Arial"/>
          <w:bCs/>
          <w:sz w:val="24"/>
          <w:szCs w:val="24"/>
        </w:rPr>
      </w:pPr>
    </w:p>
    <w:p w14:paraId="4B40C2B0" w14:textId="59A07439" w:rsidR="009F5840" w:rsidRPr="00061B82" w:rsidRDefault="009F5840" w:rsidP="00597A11">
      <w:pPr>
        <w:spacing w:after="0"/>
        <w:jc w:val="both"/>
        <w:rPr>
          <w:rFonts w:ascii="Arial" w:hAnsi="Arial" w:cs="Arial"/>
          <w:bCs/>
          <w:sz w:val="24"/>
          <w:szCs w:val="24"/>
        </w:rPr>
      </w:pPr>
      <w:r w:rsidRPr="00061B82">
        <w:rPr>
          <w:rFonts w:ascii="Arial" w:hAnsi="Arial" w:cs="Arial"/>
          <w:bCs/>
          <w:sz w:val="24"/>
          <w:szCs w:val="24"/>
        </w:rPr>
        <w:t>Knowsley Council: Wish to reaffirm and explain Knowsley Council's strong objections to the application specifically in relation to the most recent officer report.</w:t>
      </w:r>
      <w:r w:rsidR="00474A0F" w:rsidRPr="00061B82">
        <w:rPr>
          <w:rFonts w:ascii="Arial" w:hAnsi="Arial" w:cs="Arial"/>
          <w:bCs/>
          <w:sz w:val="24"/>
          <w:szCs w:val="24"/>
        </w:rPr>
        <w:t xml:space="preserve"> </w:t>
      </w:r>
      <w:r w:rsidR="00D14249" w:rsidRPr="00061B82">
        <w:rPr>
          <w:rFonts w:ascii="Arial" w:hAnsi="Arial" w:cs="Arial"/>
          <w:bCs/>
          <w:sz w:val="24"/>
          <w:szCs w:val="24"/>
        </w:rPr>
        <w:t>Seven</w:t>
      </w:r>
      <w:r w:rsidR="00474A0F" w:rsidRPr="00061B82">
        <w:rPr>
          <w:rFonts w:ascii="Arial" w:hAnsi="Arial" w:cs="Arial"/>
          <w:bCs/>
          <w:sz w:val="24"/>
          <w:szCs w:val="24"/>
        </w:rPr>
        <w:t xml:space="preserve"> key point</w:t>
      </w:r>
      <w:r w:rsidR="00973712" w:rsidRPr="00061B82">
        <w:rPr>
          <w:rFonts w:ascii="Arial" w:hAnsi="Arial" w:cs="Arial"/>
          <w:bCs/>
          <w:sz w:val="24"/>
          <w:szCs w:val="24"/>
        </w:rPr>
        <w:t xml:space="preserve">s </w:t>
      </w:r>
      <w:r w:rsidR="00474A0F" w:rsidRPr="00061B82">
        <w:rPr>
          <w:rFonts w:ascii="Arial" w:hAnsi="Arial" w:cs="Arial"/>
          <w:bCs/>
          <w:sz w:val="24"/>
          <w:szCs w:val="24"/>
        </w:rPr>
        <w:t>are raised.</w:t>
      </w:r>
    </w:p>
    <w:p w14:paraId="23494980" w14:textId="4D957177" w:rsidR="009F5840" w:rsidRPr="00061B82" w:rsidRDefault="009F5840" w:rsidP="00597A11">
      <w:pPr>
        <w:spacing w:after="0"/>
        <w:jc w:val="both"/>
        <w:rPr>
          <w:rFonts w:ascii="Arial" w:hAnsi="Arial" w:cs="Arial"/>
          <w:bCs/>
          <w:sz w:val="24"/>
          <w:szCs w:val="24"/>
        </w:rPr>
      </w:pPr>
    </w:p>
    <w:p w14:paraId="792EC462" w14:textId="53138762" w:rsidR="009F5840" w:rsidRPr="00061B82" w:rsidRDefault="009F5840" w:rsidP="00061B82">
      <w:pPr>
        <w:pStyle w:val="ListParagraph"/>
        <w:numPr>
          <w:ilvl w:val="0"/>
          <w:numId w:val="14"/>
        </w:numPr>
        <w:spacing w:after="0"/>
        <w:ind w:left="360"/>
        <w:jc w:val="both"/>
        <w:rPr>
          <w:rFonts w:ascii="Arial" w:hAnsi="Arial" w:cs="Arial"/>
          <w:bCs/>
          <w:sz w:val="24"/>
          <w:szCs w:val="24"/>
        </w:rPr>
      </w:pPr>
      <w:r w:rsidRPr="00061B82">
        <w:rPr>
          <w:rFonts w:ascii="Arial" w:hAnsi="Arial" w:cs="Arial"/>
          <w:bCs/>
          <w:sz w:val="24"/>
          <w:szCs w:val="24"/>
        </w:rPr>
        <w:t xml:space="preserve">Planning policy matters: Knowsley consider that Policy WM2 of the Lancashire Minerals and Waste Local Plan relates to large scale waste management facilities and specifically excludes smaller scale development such as the proposal. Knowsley therefore consider that policy WM2 is not relevant. Instead Knowsley consider that policy WM3 is the relevant </w:t>
      </w:r>
      <w:r w:rsidR="00061B82" w:rsidRPr="00061B82">
        <w:rPr>
          <w:rFonts w:ascii="Arial" w:hAnsi="Arial" w:cs="Arial"/>
          <w:bCs/>
          <w:sz w:val="24"/>
          <w:szCs w:val="24"/>
        </w:rPr>
        <w:t>policy,</w:t>
      </w:r>
      <w:r w:rsidRPr="00061B82">
        <w:rPr>
          <w:rFonts w:ascii="Arial" w:hAnsi="Arial" w:cs="Arial"/>
          <w:bCs/>
          <w:sz w:val="24"/>
          <w:szCs w:val="24"/>
        </w:rPr>
        <w:t xml:space="preserve"> and this policy specifically excludes thermal treatment plants</w:t>
      </w:r>
      <w:r w:rsidR="00C6118E" w:rsidRPr="00061B82">
        <w:rPr>
          <w:rFonts w:ascii="Arial" w:hAnsi="Arial" w:cs="Arial"/>
          <w:bCs/>
          <w:sz w:val="24"/>
          <w:szCs w:val="24"/>
        </w:rPr>
        <w:t xml:space="preserve">. Knowsley therefore consider that the proposal cannot be compliant with an </w:t>
      </w:r>
      <w:r w:rsidR="00061B82" w:rsidRPr="00061B82">
        <w:rPr>
          <w:rFonts w:ascii="Arial" w:hAnsi="Arial" w:cs="Arial"/>
          <w:bCs/>
          <w:sz w:val="24"/>
          <w:szCs w:val="24"/>
        </w:rPr>
        <w:t>up-to-date</w:t>
      </w:r>
      <w:r w:rsidR="00C6118E" w:rsidRPr="00061B82">
        <w:rPr>
          <w:rFonts w:ascii="Arial" w:hAnsi="Arial" w:cs="Arial"/>
          <w:bCs/>
          <w:sz w:val="24"/>
          <w:szCs w:val="24"/>
        </w:rPr>
        <w:t xml:space="preserve"> local plan. In such a case, the applicant must demonstrate a market need for the facility which has not been done.</w:t>
      </w:r>
    </w:p>
    <w:p w14:paraId="276195EB" w14:textId="65C11955" w:rsidR="00C6118E" w:rsidRPr="00061B82" w:rsidRDefault="00C6118E" w:rsidP="00061B82">
      <w:pPr>
        <w:spacing w:after="0"/>
        <w:jc w:val="both"/>
        <w:rPr>
          <w:rFonts w:ascii="Arial" w:hAnsi="Arial" w:cs="Arial"/>
          <w:bCs/>
          <w:sz w:val="24"/>
          <w:szCs w:val="24"/>
        </w:rPr>
      </w:pPr>
    </w:p>
    <w:p w14:paraId="3BF5BE3A" w14:textId="68CAC0D7" w:rsidR="00C6118E" w:rsidRPr="00061B82" w:rsidRDefault="00C6118E" w:rsidP="00061B82">
      <w:pPr>
        <w:pStyle w:val="ListParagraph"/>
        <w:numPr>
          <w:ilvl w:val="0"/>
          <w:numId w:val="14"/>
        </w:numPr>
        <w:spacing w:after="0"/>
        <w:ind w:left="360"/>
        <w:jc w:val="both"/>
        <w:rPr>
          <w:rFonts w:ascii="Arial" w:hAnsi="Arial" w:cs="Arial"/>
          <w:bCs/>
          <w:sz w:val="24"/>
          <w:szCs w:val="24"/>
        </w:rPr>
      </w:pPr>
      <w:r w:rsidRPr="00061B82">
        <w:rPr>
          <w:rFonts w:ascii="Arial" w:hAnsi="Arial" w:cs="Arial"/>
          <w:bCs/>
          <w:sz w:val="24"/>
          <w:szCs w:val="24"/>
        </w:rPr>
        <w:t xml:space="preserve">Knowsley also disagree with officer's assessment that parts of policies WM2 and WM3 are out of date. Knowsley consider that it is not possible to separate the policies in this way – they are either in date or are out of date. Knowsley consider that both policies are out of date and therefore it cannot be concluded that the proposal is consistent with an </w:t>
      </w:r>
      <w:r w:rsidR="00061B82" w:rsidRPr="00061B82">
        <w:rPr>
          <w:rFonts w:ascii="Arial" w:hAnsi="Arial" w:cs="Arial"/>
          <w:bCs/>
          <w:sz w:val="24"/>
          <w:szCs w:val="24"/>
        </w:rPr>
        <w:t>up-to-date</w:t>
      </w:r>
      <w:r w:rsidRPr="00061B82">
        <w:rPr>
          <w:rFonts w:ascii="Arial" w:hAnsi="Arial" w:cs="Arial"/>
          <w:bCs/>
          <w:sz w:val="24"/>
          <w:szCs w:val="24"/>
        </w:rPr>
        <w:t xml:space="preserve"> local plan.</w:t>
      </w:r>
      <w:r w:rsidR="00474A0F" w:rsidRPr="00061B82">
        <w:rPr>
          <w:rFonts w:ascii="Arial" w:hAnsi="Arial" w:cs="Arial"/>
          <w:bCs/>
          <w:sz w:val="24"/>
          <w:szCs w:val="24"/>
        </w:rPr>
        <w:t xml:space="preserve"> Knowsley therefore consider that the applicant should have to demonstrate a need for the facility and that any need is already met by existing facilities.</w:t>
      </w:r>
    </w:p>
    <w:p w14:paraId="1A267E5D" w14:textId="77777777" w:rsidR="00474A0F" w:rsidRPr="00061B82" w:rsidRDefault="00474A0F" w:rsidP="00061B82">
      <w:pPr>
        <w:pStyle w:val="ListParagraph"/>
        <w:ind w:left="360"/>
        <w:rPr>
          <w:rFonts w:ascii="Arial" w:hAnsi="Arial" w:cs="Arial"/>
          <w:bCs/>
          <w:sz w:val="24"/>
          <w:szCs w:val="24"/>
        </w:rPr>
      </w:pPr>
    </w:p>
    <w:p w14:paraId="00E6325B" w14:textId="4CA9126A" w:rsidR="00474A0F" w:rsidRPr="00061B82" w:rsidRDefault="00474A0F" w:rsidP="00061B82">
      <w:pPr>
        <w:pStyle w:val="ListParagraph"/>
        <w:numPr>
          <w:ilvl w:val="0"/>
          <w:numId w:val="14"/>
        </w:numPr>
        <w:spacing w:after="0"/>
        <w:ind w:left="360"/>
        <w:jc w:val="both"/>
        <w:rPr>
          <w:rFonts w:ascii="Arial" w:hAnsi="Arial" w:cs="Arial"/>
          <w:bCs/>
          <w:sz w:val="24"/>
          <w:szCs w:val="24"/>
        </w:rPr>
      </w:pPr>
      <w:r w:rsidRPr="00061B82">
        <w:rPr>
          <w:rFonts w:ascii="Arial" w:hAnsi="Arial" w:cs="Arial"/>
          <w:bCs/>
          <w:sz w:val="24"/>
          <w:szCs w:val="24"/>
        </w:rPr>
        <w:t xml:space="preserve">It has not been demonstrated that there is a need for the facility. Knowsley note that </w:t>
      </w:r>
      <w:r w:rsidR="00F32C0C" w:rsidRPr="00061B82">
        <w:rPr>
          <w:rFonts w:ascii="Arial" w:hAnsi="Arial" w:cs="Arial"/>
          <w:bCs/>
          <w:sz w:val="24"/>
          <w:szCs w:val="24"/>
        </w:rPr>
        <w:t>the committee reports do not discuss the need for the development nor has the applicant submitted any evidence on this point. Knowsley therefore consider that the application conflicts with the development and should be refused for the reason stated in their response.</w:t>
      </w:r>
    </w:p>
    <w:p w14:paraId="28F19C37" w14:textId="77777777" w:rsidR="00F32C0C" w:rsidRPr="00061B82" w:rsidRDefault="00F32C0C" w:rsidP="00061B82">
      <w:pPr>
        <w:pStyle w:val="ListParagraph"/>
        <w:ind w:left="360"/>
        <w:rPr>
          <w:rFonts w:ascii="Arial" w:hAnsi="Arial" w:cs="Arial"/>
          <w:bCs/>
          <w:sz w:val="24"/>
          <w:szCs w:val="24"/>
        </w:rPr>
      </w:pPr>
    </w:p>
    <w:p w14:paraId="430E7477" w14:textId="666DCFE3" w:rsidR="00973712" w:rsidRPr="00061B82" w:rsidRDefault="00F32C0C" w:rsidP="00061B82">
      <w:pPr>
        <w:pStyle w:val="ListParagraph"/>
        <w:numPr>
          <w:ilvl w:val="0"/>
          <w:numId w:val="14"/>
        </w:numPr>
        <w:spacing w:after="0"/>
        <w:ind w:left="360"/>
        <w:jc w:val="both"/>
        <w:rPr>
          <w:rFonts w:ascii="Arial" w:hAnsi="Arial" w:cs="Arial"/>
          <w:bCs/>
          <w:sz w:val="24"/>
          <w:szCs w:val="24"/>
        </w:rPr>
      </w:pPr>
      <w:r w:rsidRPr="00061B82">
        <w:rPr>
          <w:rFonts w:ascii="Arial" w:hAnsi="Arial" w:cs="Arial"/>
          <w:bCs/>
          <w:sz w:val="24"/>
          <w:szCs w:val="24"/>
        </w:rPr>
        <w:t xml:space="preserve">Breaches of planning and permit </w:t>
      </w:r>
      <w:r w:rsidR="00061B82" w:rsidRPr="00061B82">
        <w:rPr>
          <w:rFonts w:ascii="Arial" w:hAnsi="Arial" w:cs="Arial"/>
          <w:bCs/>
          <w:sz w:val="24"/>
          <w:szCs w:val="24"/>
        </w:rPr>
        <w:t>controls:</w:t>
      </w:r>
      <w:r w:rsidRPr="00061B82">
        <w:rPr>
          <w:rFonts w:ascii="Arial" w:hAnsi="Arial" w:cs="Arial"/>
          <w:bCs/>
          <w:sz w:val="24"/>
          <w:szCs w:val="24"/>
        </w:rPr>
        <w:t xml:space="preserve"> </w:t>
      </w:r>
      <w:r w:rsidR="00973712" w:rsidRPr="00061B82">
        <w:rPr>
          <w:rFonts w:ascii="Arial" w:hAnsi="Arial" w:cs="Arial"/>
          <w:bCs/>
          <w:sz w:val="24"/>
          <w:szCs w:val="24"/>
        </w:rPr>
        <w:t>Knowsley do not consider that the imposition of planning conditions would be sufficient to address harm as there is no guarantee that conditions would be complied with. Knowsley consider that this should form a basis for refusing the application.</w:t>
      </w:r>
    </w:p>
    <w:p w14:paraId="1C96DE29" w14:textId="77777777" w:rsidR="00973712" w:rsidRPr="00061B82" w:rsidRDefault="00973712" w:rsidP="00061B82">
      <w:pPr>
        <w:pStyle w:val="ListParagraph"/>
        <w:ind w:left="360"/>
        <w:rPr>
          <w:rFonts w:ascii="Arial" w:hAnsi="Arial" w:cs="Arial"/>
          <w:bCs/>
          <w:sz w:val="24"/>
          <w:szCs w:val="24"/>
        </w:rPr>
      </w:pPr>
    </w:p>
    <w:p w14:paraId="4F0F2615" w14:textId="67A9B380" w:rsidR="00973712" w:rsidRPr="00061B82" w:rsidRDefault="00973712" w:rsidP="00061B82">
      <w:pPr>
        <w:pStyle w:val="ListParagraph"/>
        <w:numPr>
          <w:ilvl w:val="0"/>
          <w:numId w:val="14"/>
        </w:numPr>
        <w:spacing w:after="0"/>
        <w:ind w:left="360"/>
        <w:jc w:val="both"/>
        <w:rPr>
          <w:rFonts w:ascii="Arial" w:hAnsi="Arial" w:cs="Arial"/>
          <w:bCs/>
          <w:sz w:val="24"/>
          <w:szCs w:val="24"/>
        </w:rPr>
      </w:pPr>
      <w:r w:rsidRPr="00061B82">
        <w:rPr>
          <w:rFonts w:ascii="Arial" w:hAnsi="Arial" w:cs="Arial"/>
          <w:bCs/>
          <w:sz w:val="24"/>
          <w:szCs w:val="24"/>
        </w:rPr>
        <w:t xml:space="preserve">Compliance with Policy </w:t>
      </w:r>
      <w:r w:rsidR="007D36BC" w:rsidRPr="00061B82">
        <w:rPr>
          <w:rFonts w:ascii="Arial" w:hAnsi="Arial" w:cs="Arial"/>
          <w:bCs/>
          <w:sz w:val="24"/>
          <w:szCs w:val="24"/>
        </w:rPr>
        <w:t>D</w:t>
      </w:r>
      <w:r w:rsidRPr="00061B82">
        <w:rPr>
          <w:rFonts w:ascii="Arial" w:hAnsi="Arial" w:cs="Arial"/>
          <w:bCs/>
          <w:sz w:val="24"/>
          <w:szCs w:val="24"/>
        </w:rPr>
        <w:t>M4: Knowsley consider that it has not been demonstrated that the energy resources that would be produced would be used properly</w:t>
      </w:r>
      <w:r w:rsidR="007D36BC" w:rsidRPr="00061B82">
        <w:rPr>
          <w:rFonts w:ascii="Arial" w:hAnsi="Arial" w:cs="Arial"/>
          <w:bCs/>
          <w:sz w:val="24"/>
          <w:szCs w:val="24"/>
        </w:rPr>
        <w:t>,</w:t>
      </w:r>
      <w:r w:rsidRPr="00061B82">
        <w:rPr>
          <w:rFonts w:ascii="Arial" w:hAnsi="Arial" w:cs="Arial"/>
          <w:bCs/>
          <w:sz w:val="24"/>
          <w:szCs w:val="24"/>
        </w:rPr>
        <w:t xml:space="preserve"> contrary to Policy </w:t>
      </w:r>
      <w:r w:rsidR="007D36BC" w:rsidRPr="00061B82">
        <w:rPr>
          <w:rFonts w:ascii="Arial" w:hAnsi="Arial" w:cs="Arial"/>
          <w:bCs/>
          <w:sz w:val="24"/>
          <w:szCs w:val="24"/>
        </w:rPr>
        <w:t>D</w:t>
      </w:r>
      <w:r w:rsidRPr="00061B82">
        <w:rPr>
          <w:rFonts w:ascii="Arial" w:hAnsi="Arial" w:cs="Arial"/>
          <w:bCs/>
          <w:sz w:val="24"/>
          <w:szCs w:val="24"/>
        </w:rPr>
        <w:t>M4. Conditions 3 and 4 do not deal with the issue properly either.</w:t>
      </w:r>
    </w:p>
    <w:p w14:paraId="0EB47005" w14:textId="77777777" w:rsidR="00973712" w:rsidRPr="00061B82" w:rsidRDefault="00973712" w:rsidP="00061B82">
      <w:pPr>
        <w:pStyle w:val="ListParagraph"/>
        <w:ind w:left="360"/>
        <w:rPr>
          <w:rFonts w:ascii="Arial" w:hAnsi="Arial" w:cs="Arial"/>
          <w:bCs/>
          <w:sz w:val="24"/>
          <w:szCs w:val="24"/>
        </w:rPr>
      </w:pPr>
    </w:p>
    <w:p w14:paraId="0DF5185D" w14:textId="5C3BDE06" w:rsidR="00973712" w:rsidRPr="00061B82" w:rsidRDefault="00973712" w:rsidP="00061B82">
      <w:pPr>
        <w:pStyle w:val="ListParagraph"/>
        <w:numPr>
          <w:ilvl w:val="0"/>
          <w:numId w:val="14"/>
        </w:numPr>
        <w:spacing w:after="0"/>
        <w:ind w:left="360"/>
        <w:jc w:val="both"/>
        <w:rPr>
          <w:rFonts w:ascii="Arial" w:hAnsi="Arial" w:cs="Arial"/>
          <w:bCs/>
          <w:sz w:val="24"/>
          <w:szCs w:val="24"/>
        </w:rPr>
      </w:pPr>
      <w:r w:rsidRPr="00061B82">
        <w:rPr>
          <w:rFonts w:ascii="Arial" w:hAnsi="Arial" w:cs="Arial"/>
          <w:bCs/>
          <w:sz w:val="24"/>
          <w:szCs w:val="24"/>
        </w:rPr>
        <w:t xml:space="preserve">Compliance with Environmental Impact Assessment Regulations </w:t>
      </w:r>
      <w:r w:rsidR="00061B82" w:rsidRPr="00061B82">
        <w:rPr>
          <w:rFonts w:ascii="Arial" w:hAnsi="Arial" w:cs="Arial"/>
          <w:bCs/>
          <w:sz w:val="24"/>
          <w:szCs w:val="24"/>
        </w:rPr>
        <w:t>2017:</w:t>
      </w:r>
      <w:r w:rsidRPr="00061B82">
        <w:rPr>
          <w:rFonts w:ascii="Arial" w:hAnsi="Arial" w:cs="Arial"/>
          <w:bCs/>
          <w:sz w:val="24"/>
          <w:szCs w:val="24"/>
        </w:rPr>
        <w:t xml:space="preserve"> Knowsley note that the application was amended to increase the height of the stack and include the </w:t>
      </w:r>
      <w:r w:rsidR="00061B82">
        <w:rPr>
          <w:rFonts w:ascii="Arial" w:hAnsi="Arial" w:cs="Arial"/>
          <w:bCs/>
          <w:sz w:val="24"/>
          <w:szCs w:val="24"/>
        </w:rPr>
        <w:t>Organic Rankine Cycle (</w:t>
      </w:r>
      <w:r w:rsidRPr="00061B82">
        <w:rPr>
          <w:rFonts w:ascii="Arial" w:hAnsi="Arial" w:cs="Arial"/>
          <w:bCs/>
          <w:sz w:val="24"/>
          <w:szCs w:val="24"/>
        </w:rPr>
        <w:t>ORC</w:t>
      </w:r>
      <w:r w:rsidR="00061B82">
        <w:rPr>
          <w:rFonts w:ascii="Arial" w:hAnsi="Arial" w:cs="Arial"/>
          <w:bCs/>
          <w:sz w:val="24"/>
          <w:szCs w:val="24"/>
        </w:rPr>
        <w:t>)</w:t>
      </w:r>
      <w:r w:rsidRPr="00061B82">
        <w:rPr>
          <w:rFonts w:ascii="Arial" w:hAnsi="Arial" w:cs="Arial"/>
          <w:bCs/>
          <w:sz w:val="24"/>
          <w:szCs w:val="24"/>
        </w:rPr>
        <w:t xml:space="preserve"> engine. However, Knowsley consider that the </w:t>
      </w:r>
      <w:r w:rsidR="00061B82">
        <w:rPr>
          <w:rFonts w:ascii="Arial" w:hAnsi="Arial" w:cs="Arial"/>
          <w:bCs/>
          <w:sz w:val="24"/>
          <w:szCs w:val="24"/>
        </w:rPr>
        <w:t>Environmental Impact Assessment (</w:t>
      </w:r>
      <w:r w:rsidRPr="00061B82">
        <w:rPr>
          <w:rFonts w:ascii="Arial" w:hAnsi="Arial" w:cs="Arial"/>
          <w:bCs/>
          <w:sz w:val="24"/>
          <w:szCs w:val="24"/>
        </w:rPr>
        <w:t>EIA</w:t>
      </w:r>
      <w:r w:rsidR="00061B82">
        <w:rPr>
          <w:rFonts w:ascii="Arial" w:hAnsi="Arial" w:cs="Arial"/>
          <w:bCs/>
          <w:sz w:val="24"/>
          <w:szCs w:val="24"/>
        </w:rPr>
        <w:t>)</w:t>
      </w:r>
      <w:r w:rsidRPr="00061B82">
        <w:rPr>
          <w:rFonts w:ascii="Arial" w:hAnsi="Arial" w:cs="Arial"/>
          <w:bCs/>
          <w:sz w:val="24"/>
          <w:szCs w:val="24"/>
        </w:rPr>
        <w:t xml:space="preserve"> was not updated to take account of these changes.</w:t>
      </w:r>
    </w:p>
    <w:p w14:paraId="019F4D10" w14:textId="77777777" w:rsidR="00973712" w:rsidRPr="00061B82" w:rsidRDefault="00973712" w:rsidP="00061B82">
      <w:pPr>
        <w:pStyle w:val="ListParagraph"/>
        <w:ind w:left="360"/>
        <w:rPr>
          <w:rFonts w:ascii="Arial" w:hAnsi="Arial" w:cs="Arial"/>
          <w:bCs/>
          <w:sz w:val="24"/>
          <w:szCs w:val="24"/>
        </w:rPr>
      </w:pPr>
    </w:p>
    <w:p w14:paraId="4CB2C794" w14:textId="58227D5E" w:rsidR="00973712" w:rsidRPr="00061B82" w:rsidRDefault="00973712" w:rsidP="00061B82">
      <w:pPr>
        <w:pStyle w:val="ListParagraph"/>
        <w:numPr>
          <w:ilvl w:val="0"/>
          <w:numId w:val="14"/>
        </w:numPr>
        <w:spacing w:after="0"/>
        <w:ind w:left="360"/>
        <w:jc w:val="both"/>
        <w:rPr>
          <w:rFonts w:ascii="Arial" w:hAnsi="Arial" w:cs="Arial"/>
          <w:bCs/>
          <w:sz w:val="24"/>
          <w:szCs w:val="24"/>
        </w:rPr>
      </w:pPr>
      <w:r w:rsidRPr="00061B82">
        <w:rPr>
          <w:rFonts w:ascii="Arial" w:hAnsi="Arial" w:cs="Arial"/>
          <w:bCs/>
          <w:sz w:val="24"/>
          <w:szCs w:val="24"/>
        </w:rPr>
        <w:t xml:space="preserve">Atkins </w:t>
      </w:r>
      <w:r w:rsidR="00061B82" w:rsidRPr="00061B82">
        <w:rPr>
          <w:rFonts w:ascii="Arial" w:hAnsi="Arial" w:cs="Arial"/>
          <w:bCs/>
          <w:sz w:val="24"/>
          <w:szCs w:val="24"/>
        </w:rPr>
        <w:t>report:</w:t>
      </w:r>
      <w:r w:rsidRPr="00061B82">
        <w:rPr>
          <w:rFonts w:ascii="Arial" w:hAnsi="Arial" w:cs="Arial"/>
          <w:bCs/>
          <w:sz w:val="24"/>
          <w:szCs w:val="24"/>
        </w:rPr>
        <w:t xml:space="preserve"> </w:t>
      </w:r>
      <w:r w:rsidR="00D14249" w:rsidRPr="00061B82">
        <w:rPr>
          <w:rFonts w:ascii="Arial" w:hAnsi="Arial" w:cs="Arial"/>
          <w:bCs/>
          <w:sz w:val="24"/>
          <w:szCs w:val="24"/>
        </w:rPr>
        <w:t>Knowsley are still concerned about the emission levels of chromium V and the lack of base line data from the local area. Knowsley consider that the failure to demonstrate the environmental impact should be a reason for refusal.</w:t>
      </w:r>
    </w:p>
    <w:p w14:paraId="5E1A04B4" w14:textId="77777777" w:rsidR="00061B82" w:rsidRDefault="00061B82" w:rsidP="007665D4">
      <w:pPr>
        <w:spacing w:after="0"/>
        <w:jc w:val="both"/>
        <w:rPr>
          <w:rFonts w:ascii="Arial" w:hAnsi="Arial" w:cs="Arial"/>
          <w:bCs/>
          <w:sz w:val="24"/>
          <w:szCs w:val="24"/>
        </w:rPr>
      </w:pPr>
    </w:p>
    <w:p w14:paraId="61D19053" w14:textId="24409ED5" w:rsidR="007665D4" w:rsidRPr="00061B82" w:rsidRDefault="007665D4" w:rsidP="007665D4">
      <w:pPr>
        <w:spacing w:after="0"/>
        <w:jc w:val="both"/>
        <w:rPr>
          <w:rFonts w:ascii="Arial" w:hAnsi="Arial" w:cs="Arial"/>
          <w:bCs/>
          <w:sz w:val="24"/>
          <w:szCs w:val="24"/>
        </w:rPr>
      </w:pPr>
      <w:r w:rsidRPr="00061B82">
        <w:rPr>
          <w:rFonts w:ascii="Arial" w:hAnsi="Arial" w:cs="Arial"/>
          <w:bCs/>
          <w:sz w:val="24"/>
          <w:szCs w:val="24"/>
        </w:rPr>
        <w:t xml:space="preserve">Stop the Simonswood Incinerator Action </w:t>
      </w:r>
      <w:r w:rsidR="00061B82" w:rsidRPr="00061B82">
        <w:rPr>
          <w:rFonts w:ascii="Arial" w:hAnsi="Arial" w:cs="Arial"/>
          <w:bCs/>
          <w:sz w:val="24"/>
          <w:szCs w:val="24"/>
        </w:rPr>
        <w:t>Group:</w:t>
      </w:r>
      <w:r w:rsidRPr="00061B82">
        <w:rPr>
          <w:rFonts w:ascii="Arial" w:hAnsi="Arial" w:cs="Arial"/>
          <w:bCs/>
          <w:sz w:val="24"/>
          <w:szCs w:val="24"/>
        </w:rPr>
        <w:t xml:space="preserve"> The submission makes the following points:</w:t>
      </w:r>
    </w:p>
    <w:p w14:paraId="0EF2F0F6" w14:textId="1912CF28" w:rsidR="007665D4" w:rsidRPr="00061B82" w:rsidRDefault="007665D4" w:rsidP="007665D4">
      <w:pPr>
        <w:spacing w:after="0"/>
        <w:jc w:val="both"/>
        <w:rPr>
          <w:rFonts w:ascii="Arial" w:hAnsi="Arial" w:cs="Arial"/>
          <w:bCs/>
          <w:sz w:val="24"/>
          <w:szCs w:val="24"/>
        </w:rPr>
      </w:pPr>
    </w:p>
    <w:p w14:paraId="01A1F772" w14:textId="0AC6C873" w:rsidR="007665D4" w:rsidRPr="00061B82" w:rsidRDefault="007665D4" w:rsidP="00061B82">
      <w:pPr>
        <w:pStyle w:val="ListParagraph"/>
        <w:numPr>
          <w:ilvl w:val="0"/>
          <w:numId w:val="16"/>
        </w:numPr>
        <w:spacing w:after="0"/>
        <w:ind w:left="360"/>
        <w:jc w:val="both"/>
        <w:rPr>
          <w:rFonts w:ascii="Arial" w:hAnsi="Arial" w:cs="Arial"/>
          <w:bCs/>
          <w:sz w:val="24"/>
          <w:szCs w:val="24"/>
        </w:rPr>
      </w:pPr>
      <w:r w:rsidRPr="00061B82">
        <w:rPr>
          <w:rFonts w:ascii="Arial" w:hAnsi="Arial" w:cs="Arial"/>
          <w:bCs/>
          <w:sz w:val="24"/>
          <w:szCs w:val="24"/>
        </w:rPr>
        <w:t>The incineration of hazardous medical waste is not the same as municipal waste but is significantly and inherently more dangerous to public health and the environment</w:t>
      </w:r>
      <w:r w:rsidR="00061B82">
        <w:rPr>
          <w:rFonts w:ascii="Arial" w:hAnsi="Arial" w:cs="Arial"/>
          <w:bCs/>
          <w:sz w:val="24"/>
          <w:szCs w:val="24"/>
        </w:rPr>
        <w:t>.</w:t>
      </w:r>
    </w:p>
    <w:p w14:paraId="2549C861" w14:textId="2AA7A234" w:rsidR="007665D4" w:rsidRPr="00061B82" w:rsidRDefault="007665D4" w:rsidP="00061B82">
      <w:pPr>
        <w:pStyle w:val="ListParagraph"/>
        <w:numPr>
          <w:ilvl w:val="0"/>
          <w:numId w:val="16"/>
        </w:numPr>
        <w:spacing w:after="0"/>
        <w:ind w:left="360"/>
        <w:jc w:val="both"/>
        <w:rPr>
          <w:rFonts w:ascii="Arial" w:hAnsi="Arial" w:cs="Arial"/>
          <w:bCs/>
          <w:sz w:val="24"/>
          <w:szCs w:val="24"/>
        </w:rPr>
      </w:pPr>
      <w:r w:rsidRPr="00061B82">
        <w:rPr>
          <w:rFonts w:ascii="Arial" w:hAnsi="Arial" w:cs="Arial"/>
          <w:bCs/>
          <w:sz w:val="24"/>
          <w:szCs w:val="24"/>
        </w:rPr>
        <w:t xml:space="preserve">The World Health Organisation states that even </w:t>
      </w:r>
      <w:r w:rsidR="00061B82" w:rsidRPr="00061B82">
        <w:rPr>
          <w:rFonts w:ascii="Arial" w:hAnsi="Arial" w:cs="Arial"/>
          <w:bCs/>
          <w:sz w:val="24"/>
          <w:szCs w:val="24"/>
        </w:rPr>
        <w:t>small-scale</w:t>
      </w:r>
      <w:r w:rsidRPr="00061B82">
        <w:rPr>
          <w:rFonts w:ascii="Arial" w:hAnsi="Arial" w:cs="Arial"/>
          <w:bCs/>
          <w:sz w:val="24"/>
          <w:szCs w:val="24"/>
        </w:rPr>
        <w:t xml:space="preserve"> incinerators should not be sited with</w:t>
      </w:r>
      <w:r w:rsidR="00F12656" w:rsidRPr="00061B82">
        <w:rPr>
          <w:rFonts w:ascii="Arial" w:hAnsi="Arial" w:cs="Arial"/>
          <w:bCs/>
          <w:sz w:val="24"/>
          <w:szCs w:val="24"/>
        </w:rPr>
        <w:t>in</w:t>
      </w:r>
      <w:r w:rsidRPr="00061B82">
        <w:rPr>
          <w:rFonts w:ascii="Arial" w:hAnsi="Arial" w:cs="Arial"/>
          <w:bCs/>
          <w:sz w:val="24"/>
          <w:szCs w:val="24"/>
        </w:rPr>
        <w:t xml:space="preserve"> proximity of residential areas, agricultural land or livestock habitats</w:t>
      </w:r>
    </w:p>
    <w:p w14:paraId="143E8B5B" w14:textId="1F7947DE" w:rsidR="007665D4" w:rsidRPr="00061B82" w:rsidRDefault="007665D4" w:rsidP="00061B82">
      <w:pPr>
        <w:pStyle w:val="ListParagraph"/>
        <w:numPr>
          <w:ilvl w:val="0"/>
          <w:numId w:val="16"/>
        </w:numPr>
        <w:spacing w:after="0"/>
        <w:ind w:left="360"/>
        <w:jc w:val="both"/>
        <w:rPr>
          <w:rFonts w:ascii="Arial" w:hAnsi="Arial" w:cs="Arial"/>
          <w:bCs/>
          <w:sz w:val="24"/>
          <w:szCs w:val="24"/>
        </w:rPr>
      </w:pPr>
      <w:r w:rsidRPr="00061B82">
        <w:rPr>
          <w:rFonts w:ascii="Arial" w:hAnsi="Arial" w:cs="Arial"/>
          <w:bCs/>
          <w:sz w:val="24"/>
          <w:szCs w:val="24"/>
        </w:rPr>
        <w:t>There is no clear demonstrable need for this facility based upon current local and national incinerator capacity levels</w:t>
      </w:r>
      <w:r w:rsidR="00061B82">
        <w:rPr>
          <w:rFonts w:ascii="Arial" w:hAnsi="Arial" w:cs="Arial"/>
          <w:bCs/>
          <w:sz w:val="24"/>
          <w:szCs w:val="24"/>
        </w:rPr>
        <w:t>.</w:t>
      </w:r>
    </w:p>
    <w:p w14:paraId="6DB94FA7" w14:textId="66AF3AEF" w:rsidR="007665D4" w:rsidRPr="00061B82" w:rsidRDefault="007665D4" w:rsidP="00061B82">
      <w:pPr>
        <w:pStyle w:val="ListParagraph"/>
        <w:numPr>
          <w:ilvl w:val="0"/>
          <w:numId w:val="16"/>
        </w:numPr>
        <w:spacing w:after="0"/>
        <w:ind w:left="360"/>
        <w:jc w:val="both"/>
        <w:rPr>
          <w:rFonts w:ascii="Arial" w:hAnsi="Arial" w:cs="Arial"/>
          <w:bCs/>
          <w:sz w:val="24"/>
          <w:szCs w:val="24"/>
        </w:rPr>
      </w:pPr>
      <w:r w:rsidRPr="00061B82">
        <w:rPr>
          <w:rFonts w:ascii="Arial" w:hAnsi="Arial" w:cs="Arial"/>
          <w:bCs/>
          <w:sz w:val="24"/>
          <w:szCs w:val="24"/>
        </w:rPr>
        <w:t xml:space="preserve">The planning application and </w:t>
      </w:r>
      <w:r w:rsidR="00061B82">
        <w:rPr>
          <w:rFonts w:ascii="Arial" w:hAnsi="Arial" w:cs="Arial"/>
          <w:bCs/>
          <w:sz w:val="24"/>
          <w:szCs w:val="24"/>
        </w:rPr>
        <w:t>Lancashire County Council</w:t>
      </w:r>
      <w:r w:rsidRPr="00061B82">
        <w:rPr>
          <w:rFonts w:ascii="Arial" w:hAnsi="Arial" w:cs="Arial"/>
          <w:bCs/>
          <w:sz w:val="24"/>
          <w:szCs w:val="24"/>
        </w:rPr>
        <w:t xml:space="preserve"> officer consideration is in conflict with several </w:t>
      </w:r>
      <w:r w:rsidR="00061B82">
        <w:rPr>
          <w:rFonts w:ascii="Arial" w:hAnsi="Arial" w:cs="Arial"/>
          <w:bCs/>
          <w:sz w:val="24"/>
          <w:szCs w:val="24"/>
        </w:rPr>
        <w:t>Lancashire County Council</w:t>
      </w:r>
      <w:r w:rsidRPr="00061B82">
        <w:rPr>
          <w:rFonts w:ascii="Arial" w:hAnsi="Arial" w:cs="Arial"/>
          <w:bCs/>
          <w:sz w:val="24"/>
          <w:szCs w:val="24"/>
        </w:rPr>
        <w:t xml:space="preserve"> policies.</w:t>
      </w:r>
    </w:p>
    <w:p w14:paraId="1F6B5955" w14:textId="77777777" w:rsidR="00D209F2" w:rsidRPr="00061B82" w:rsidRDefault="00D209F2" w:rsidP="00D209F2">
      <w:pPr>
        <w:spacing w:after="0"/>
        <w:jc w:val="both"/>
        <w:rPr>
          <w:rFonts w:ascii="Arial" w:hAnsi="Arial" w:cs="Arial"/>
          <w:bCs/>
          <w:sz w:val="24"/>
          <w:szCs w:val="24"/>
        </w:rPr>
      </w:pPr>
    </w:p>
    <w:p w14:paraId="4595D04C" w14:textId="1CBD85B3" w:rsidR="00D209F2" w:rsidRPr="00061B82" w:rsidRDefault="00D209F2" w:rsidP="00D209F2">
      <w:pPr>
        <w:spacing w:after="0"/>
        <w:jc w:val="both"/>
        <w:rPr>
          <w:rFonts w:ascii="Arial" w:hAnsi="Arial" w:cs="Arial"/>
          <w:bCs/>
          <w:sz w:val="24"/>
          <w:szCs w:val="24"/>
        </w:rPr>
      </w:pPr>
      <w:r w:rsidRPr="00061B82">
        <w:rPr>
          <w:rFonts w:ascii="Arial" w:hAnsi="Arial" w:cs="Arial"/>
          <w:bCs/>
          <w:sz w:val="24"/>
          <w:szCs w:val="24"/>
        </w:rPr>
        <w:t xml:space="preserve">West Lancashire Borough </w:t>
      </w:r>
      <w:r w:rsidR="00061B82" w:rsidRPr="00061B82">
        <w:rPr>
          <w:rFonts w:ascii="Arial" w:hAnsi="Arial" w:cs="Arial"/>
          <w:bCs/>
          <w:sz w:val="24"/>
          <w:szCs w:val="24"/>
        </w:rPr>
        <w:t>Council:</w:t>
      </w:r>
      <w:r w:rsidRPr="00061B82">
        <w:rPr>
          <w:rFonts w:ascii="Arial" w:hAnsi="Arial" w:cs="Arial"/>
          <w:bCs/>
          <w:sz w:val="24"/>
          <w:szCs w:val="24"/>
        </w:rPr>
        <w:t xml:space="preserve"> Wish to reiterate their objections and raise the following issues:</w:t>
      </w:r>
    </w:p>
    <w:p w14:paraId="1F64D192" w14:textId="77777777" w:rsidR="00D209F2" w:rsidRPr="00061B82" w:rsidRDefault="00D209F2" w:rsidP="00D209F2">
      <w:pPr>
        <w:spacing w:after="0"/>
        <w:jc w:val="both"/>
        <w:rPr>
          <w:rFonts w:ascii="Arial" w:hAnsi="Arial" w:cs="Arial"/>
          <w:bCs/>
          <w:sz w:val="24"/>
          <w:szCs w:val="24"/>
        </w:rPr>
      </w:pPr>
    </w:p>
    <w:p w14:paraId="5BD27FF6" w14:textId="3583E1C6" w:rsidR="00061B82" w:rsidRDefault="00D209F2" w:rsidP="00397AA9">
      <w:pPr>
        <w:pStyle w:val="ListParagraph"/>
        <w:numPr>
          <w:ilvl w:val="0"/>
          <w:numId w:val="15"/>
        </w:numPr>
        <w:spacing w:after="0"/>
        <w:ind w:left="360"/>
        <w:jc w:val="both"/>
        <w:rPr>
          <w:rFonts w:ascii="Arial" w:hAnsi="Arial" w:cs="Arial"/>
          <w:bCs/>
          <w:sz w:val="24"/>
          <w:szCs w:val="24"/>
        </w:rPr>
      </w:pPr>
      <w:r w:rsidRPr="00061B82">
        <w:rPr>
          <w:rFonts w:ascii="Arial" w:hAnsi="Arial" w:cs="Arial"/>
          <w:bCs/>
          <w:sz w:val="24"/>
          <w:szCs w:val="24"/>
        </w:rPr>
        <w:t>Policy position and need for the facility: The Borough Council consider that the planning policy advice that was provided was unclear. The Borough Council consider that policies WM2 and WM3 are both out of date and therefore a need for the facility must be demonstrated as required by National Planning Policy for Waste. There has been no such demonstration</w:t>
      </w:r>
      <w:r w:rsidR="00061B82">
        <w:rPr>
          <w:rFonts w:ascii="Arial" w:hAnsi="Arial" w:cs="Arial"/>
          <w:bCs/>
          <w:sz w:val="24"/>
          <w:szCs w:val="24"/>
        </w:rPr>
        <w:t>.</w:t>
      </w:r>
    </w:p>
    <w:p w14:paraId="20958328" w14:textId="043762B6" w:rsidR="00D209F2" w:rsidRPr="00061B82" w:rsidRDefault="00D209F2" w:rsidP="00397AA9">
      <w:pPr>
        <w:pStyle w:val="ListParagraph"/>
        <w:numPr>
          <w:ilvl w:val="0"/>
          <w:numId w:val="15"/>
        </w:numPr>
        <w:spacing w:after="0"/>
        <w:ind w:left="360"/>
        <w:jc w:val="both"/>
        <w:rPr>
          <w:rFonts w:ascii="Arial" w:hAnsi="Arial" w:cs="Arial"/>
          <w:bCs/>
          <w:sz w:val="24"/>
          <w:szCs w:val="24"/>
        </w:rPr>
      </w:pPr>
      <w:r w:rsidRPr="00061B82">
        <w:rPr>
          <w:rFonts w:ascii="Arial" w:hAnsi="Arial" w:cs="Arial"/>
          <w:bCs/>
          <w:sz w:val="24"/>
          <w:szCs w:val="24"/>
        </w:rPr>
        <w:t>Energy recovery: It is evident that much of the energy will be wasted. The combined heat and power review should be submitted now and not for the future as suggested by condition 4.</w:t>
      </w:r>
    </w:p>
    <w:p w14:paraId="22D55200" w14:textId="0F07AE66" w:rsidR="00D209F2" w:rsidRPr="00061B82" w:rsidRDefault="00D209F2" w:rsidP="00061B82">
      <w:pPr>
        <w:pStyle w:val="ListParagraph"/>
        <w:numPr>
          <w:ilvl w:val="0"/>
          <w:numId w:val="15"/>
        </w:numPr>
        <w:spacing w:after="0"/>
        <w:ind w:left="360"/>
        <w:jc w:val="both"/>
        <w:rPr>
          <w:rFonts w:ascii="Arial" w:hAnsi="Arial" w:cs="Arial"/>
          <w:bCs/>
          <w:sz w:val="24"/>
          <w:szCs w:val="24"/>
        </w:rPr>
      </w:pPr>
      <w:r w:rsidRPr="00061B82">
        <w:rPr>
          <w:rFonts w:ascii="Arial" w:hAnsi="Arial" w:cs="Arial"/>
          <w:bCs/>
          <w:sz w:val="24"/>
          <w:szCs w:val="24"/>
        </w:rPr>
        <w:t xml:space="preserve">Pollution </w:t>
      </w:r>
      <w:r w:rsidR="00061B82" w:rsidRPr="00061B82">
        <w:rPr>
          <w:rFonts w:ascii="Arial" w:hAnsi="Arial" w:cs="Arial"/>
          <w:bCs/>
          <w:sz w:val="24"/>
          <w:szCs w:val="24"/>
        </w:rPr>
        <w:t>control:</w:t>
      </w:r>
      <w:r w:rsidRPr="00061B82">
        <w:rPr>
          <w:rFonts w:ascii="Arial" w:hAnsi="Arial" w:cs="Arial"/>
          <w:bCs/>
          <w:sz w:val="24"/>
          <w:szCs w:val="24"/>
        </w:rPr>
        <w:t xml:space="preserve"> the pyrolysis process proposed is untested and could be changed to a more traditional incineration method in the future with different emission impacts.</w:t>
      </w:r>
    </w:p>
    <w:p w14:paraId="6CB793E0" w14:textId="6D08245D" w:rsidR="00D209F2" w:rsidRPr="00061B82" w:rsidRDefault="00D209F2" w:rsidP="00061B82">
      <w:pPr>
        <w:pStyle w:val="ListParagraph"/>
        <w:numPr>
          <w:ilvl w:val="0"/>
          <w:numId w:val="15"/>
        </w:numPr>
        <w:spacing w:after="0"/>
        <w:ind w:left="360"/>
        <w:jc w:val="both"/>
        <w:rPr>
          <w:rFonts w:ascii="Arial" w:hAnsi="Arial" w:cs="Arial"/>
          <w:bCs/>
          <w:sz w:val="24"/>
          <w:szCs w:val="24"/>
        </w:rPr>
      </w:pPr>
      <w:r w:rsidRPr="00061B82">
        <w:rPr>
          <w:rFonts w:ascii="Arial" w:hAnsi="Arial" w:cs="Arial"/>
          <w:bCs/>
          <w:sz w:val="24"/>
          <w:szCs w:val="24"/>
        </w:rPr>
        <w:t>Highways/</w:t>
      </w:r>
      <w:r w:rsidR="00061B82" w:rsidRPr="00061B82">
        <w:rPr>
          <w:rFonts w:ascii="Arial" w:hAnsi="Arial" w:cs="Arial"/>
          <w:bCs/>
          <w:sz w:val="24"/>
          <w:szCs w:val="24"/>
        </w:rPr>
        <w:t>Traffic:</w:t>
      </w:r>
      <w:r w:rsidRPr="00061B82">
        <w:rPr>
          <w:rFonts w:ascii="Arial" w:hAnsi="Arial" w:cs="Arial"/>
          <w:bCs/>
          <w:sz w:val="24"/>
          <w:szCs w:val="24"/>
        </w:rPr>
        <w:t xml:space="preserve"> The Borough Council draw attention to the breaches of the traffic regulation orders by </w:t>
      </w:r>
      <w:r w:rsidR="00061B82">
        <w:rPr>
          <w:rFonts w:ascii="Arial" w:hAnsi="Arial" w:cs="Arial"/>
          <w:bCs/>
          <w:sz w:val="24"/>
          <w:szCs w:val="24"/>
        </w:rPr>
        <w:t>heavy goods vehicles (HGVs)</w:t>
      </w:r>
      <w:r w:rsidRPr="00061B82">
        <w:rPr>
          <w:rFonts w:ascii="Arial" w:hAnsi="Arial" w:cs="Arial"/>
          <w:bCs/>
          <w:sz w:val="24"/>
          <w:szCs w:val="24"/>
        </w:rPr>
        <w:t xml:space="preserve"> in their area. They note the control in condition 11 but have doubts whether it would pass the test for conditions </w:t>
      </w:r>
    </w:p>
    <w:p w14:paraId="59B0FC53" w14:textId="3552CCC7" w:rsidR="00D209F2" w:rsidRPr="00061B82" w:rsidRDefault="00D209F2" w:rsidP="00061B82">
      <w:pPr>
        <w:pStyle w:val="ListParagraph"/>
        <w:numPr>
          <w:ilvl w:val="0"/>
          <w:numId w:val="15"/>
        </w:numPr>
        <w:spacing w:after="0"/>
        <w:ind w:left="360"/>
        <w:jc w:val="both"/>
        <w:rPr>
          <w:rFonts w:ascii="Arial" w:hAnsi="Arial" w:cs="Arial"/>
          <w:bCs/>
          <w:sz w:val="24"/>
          <w:szCs w:val="24"/>
        </w:rPr>
      </w:pPr>
      <w:r w:rsidRPr="00061B82">
        <w:rPr>
          <w:rFonts w:ascii="Arial" w:hAnsi="Arial" w:cs="Arial"/>
          <w:bCs/>
          <w:sz w:val="24"/>
          <w:szCs w:val="24"/>
        </w:rPr>
        <w:t xml:space="preserve">Environmental Impact </w:t>
      </w:r>
      <w:r w:rsidR="00061B82" w:rsidRPr="00061B82">
        <w:rPr>
          <w:rFonts w:ascii="Arial" w:hAnsi="Arial" w:cs="Arial"/>
          <w:bCs/>
          <w:sz w:val="24"/>
          <w:szCs w:val="24"/>
        </w:rPr>
        <w:t>Assessment:</w:t>
      </w:r>
      <w:r w:rsidRPr="00061B82">
        <w:rPr>
          <w:rFonts w:ascii="Arial" w:hAnsi="Arial" w:cs="Arial"/>
          <w:bCs/>
          <w:sz w:val="24"/>
          <w:szCs w:val="24"/>
        </w:rPr>
        <w:t xml:space="preserve"> The increase in stack height should have given rise to a reconsideration of visual impact issues within the </w:t>
      </w:r>
      <w:r w:rsidR="00061B82">
        <w:rPr>
          <w:rFonts w:ascii="Arial" w:hAnsi="Arial" w:cs="Arial"/>
          <w:bCs/>
          <w:sz w:val="24"/>
          <w:szCs w:val="24"/>
        </w:rPr>
        <w:t>Environmental Impact Assessment (</w:t>
      </w:r>
      <w:r w:rsidRPr="00061B82">
        <w:rPr>
          <w:rFonts w:ascii="Arial" w:hAnsi="Arial" w:cs="Arial"/>
          <w:bCs/>
          <w:sz w:val="24"/>
          <w:szCs w:val="24"/>
        </w:rPr>
        <w:t>EIA</w:t>
      </w:r>
      <w:r w:rsidR="00061B82">
        <w:rPr>
          <w:rFonts w:ascii="Arial" w:hAnsi="Arial" w:cs="Arial"/>
          <w:bCs/>
          <w:sz w:val="24"/>
          <w:szCs w:val="24"/>
        </w:rPr>
        <w:t>)</w:t>
      </w:r>
      <w:r w:rsidRPr="00061B82">
        <w:rPr>
          <w:rFonts w:ascii="Arial" w:hAnsi="Arial" w:cs="Arial"/>
          <w:bCs/>
          <w:sz w:val="24"/>
          <w:szCs w:val="24"/>
        </w:rPr>
        <w:t>. The Borough Council also consider that the application should have been accompanied by a full Landscape and Visual Impact Assessment</w:t>
      </w:r>
      <w:r w:rsidR="00061B82">
        <w:rPr>
          <w:rFonts w:ascii="Arial" w:hAnsi="Arial" w:cs="Arial"/>
          <w:bCs/>
          <w:sz w:val="24"/>
          <w:szCs w:val="24"/>
        </w:rPr>
        <w:t>.</w:t>
      </w:r>
    </w:p>
    <w:p w14:paraId="75CCD10B" w14:textId="4DA8A2AE" w:rsidR="00D209F2" w:rsidRPr="00061B82" w:rsidRDefault="00D209F2" w:rsidP="00D209F2">
      <w:pPr>
        <w:pStyle w:val="ListParagraph"/>
        <w:numPr>
          <w:ilvl w:val="0"/>
          <w:numId w:val="15"/>
        </w:numPr>
        <w:spacing w:after="0"/>
        <w:jc w:val="both"/>
        <w:rPr>
          <w:rFonts w:ascii="Arial" w:hAnsi="Arial" w:cs="Arial"/>
          <w:bCs/>
          <w:sz w:val="24"/>
          <w:szCs w:val="24"/>
        </w:rPr>
      </w:pPr>
      <w:r w:rsidRPr="00061B82">
        <w:rPr>
          <w:rFonts w:ascii="Arial" w:hAnsi="Arial" w:cs="Arial"/>
          <w:bCs/>
          <w:sz w:val="24"/>
          <w:szCs w:val="24"/>
        </w:rPr>
        <w:lastRenderedPageBreak/>
        <w:t xml:space="preserve">Habitats </w:t>
      </w:r>
      <w:r w:rsidR="00061B82" w:rsidRPr="00061B82">
        <w:rPr>
          <w:rFonts w:ascii="Arial" w:hAnsi="Arial" w:cs="Arial"/>
          <w:bCs/>
          <w:sz w:val="24"/>
          <w:szCs w:val="24"/>
        </w:rPr>
        <w:t>Regulations:</w:t>
      </w:r>
      <w:r w:rsidRPr="00061B82">
        <w:rPr>
          <w:rFonts w:ascii="Arial" w:hAnsi="Arial" w:cs="Arial"/>
          <w:bCs/>
          <w:sz w:val="24"/>
          <w:szCs w:val="24"/>
        </w:rPr>
        <w:t xml:space="preserve"> There has been a failure to carry out a Habitats Risk Assessment.</w:t>
      </w:r>
    </w:p>
    <w:p w14:paraId="4D7C8B7B" w14:textId="77777777" w:rsidR="00D209F2" w:rsidRPr="00061B82" w:rsidRDefault="00D209F2" w:rsidP="00D209F2">
      <w:pPr>
        <w:spacing w:after="0"/>
        <w:jc w:val="both"/>
        <w:rPr>
          <w:rFonts w:ascii="Arial" w:hAnsi="Arial" w:cs="Arial"/>
          <w:bCs/>
          <w:sz w:val="24"/>
          <w:szCs w:val="24"/>
        </w:rPr>
      </w:pPr>
    </w:p>
    <w:p w14:paraId="03BEC8DC" w14:textId="47595DCE" w:rsidR="007665D4" w:rsidRPr="00061B82" w:rsidRDefault="00061B82" w:rsidP="007665D4">
      <w:pPr>
        <w:spacing w:after="0"/>
        <w:jc w:val="both"/>
        <w:rPr>
          <w:rFonts w:ascii="Arial" w:hAnsi="Arial" w:cs="Arial"/>
          <w:bCs/>
          <w:sz w:val="24"/>
          <w:szCs w:val="24"/>
        </w:rPr>
      </w:pPr>
      <w:r w:rsidRPr="00061B82">
        <w:rPr>
          <w:rFonts w:ascii="Arial" w:hAnsi="Arial" w:cs="Arial"/>
          <w:bCs/>
          <w:sz w:val="24"/>
          <w:szCs w:val="24"/>
        </w:rPr>
        <w:t>Advice:</w:t>
      </w:r>
      <w:r w:rsidR="00DA09DB" w:rsidRPr="00061B82">
        <w:rPr>
          <w:rFonts w:ascii="Arial" w:hAnsi="Arial" w:cs="Arial"/>
          <w:bCs/>
          <w:sz w:val="24"/>
          <w:szCs w:val="24"/>
        </w:rPr>
        <w:t xml:space="preserve"> Many of the matters raised are addressed in the committee reports that have been prepared. However, the following comments are made:</w:t>
      </w:r>
    </w:p>
    <w:p w14:paraId="1A964842" w14:textId="125EC274" w:rsidR="00DA09DB" w:rsidRPr="00061B82" w:rsidRDefault="00DA09DB" w:rsidP="007665D4">
      <w:pPr>
        <w:spacing w:after="0"/>
        <w:jc w:val="both"/>
        <w:rPr>
          <w:rFonts w:ascii="Arial" w:hAnsi="Arial" w:cs="Arial"/>
          <w:bCs/>
          <w:sz w:val="24"/>
          <w:szCs w:val="24"/>
        </w:rPr>
      </w:pPr>
    </w:p>
    <w:p w14:paraId="41BA1497" w14:textId="42631917" w:rsidR="00AC0EBE" w:rsidRPr="00061B82" w:rsidRDefault="00DA09DB" w:rsidP="00AC0EBE">
      <w:pPr>
        <w:spacing w:after="0"/>
        <w:jc w:val="both"/>
        <w:rPr>
          <w:rFonts w:ascii="Arial" w:hAnsi="Arial" w:cs="Arial"/>
          <w:bCs/>
          <w:sz w:val="24"/>
          <w:szCs w:val="24"/>
        </w:rPr>
      </w:pPr>
      <w:r w:rsidRPr="00061B82">
        <w:rPr>
          <w:rFonts w:ascii="Arial" w:hAnsi="Arial" w:cs="Arial"/>
          <w:bCs/>
          <w:sz w:val="24"/>
          <w:szCs w:val="24"/>
        </w:rPr>
        <w:t xml:space="preserve">Planning </w:t>
      </w:r>
      <w:r w:rsidR="00061B82" w:rsidRPr="00061B82">
        <w:rPr>
          <w:rFonts w:ascii="Arial" w:hAnsi="Arial" w:cs="Arial"/>
          <w:bCs/>
          <w:sz w:val="24"/>
          <w:szCs w:val="24"/>
        </w:rPr>
        <w:t>policy:</w:t>
      </w:r>
      <w:r w:rsidRPr="00061B82">
        <w:rPr>
          <w:rFonts w:ascii="Arial" w:hAnsi="Arial" w:cs="Arial"/>
          <w:bCs/>
          <w:sz w:val="24"/>
          <w:szCs w:val="24"/>
        </w:rPr>
        <w:t xml:space="preserve"> </w:t>
      </w:r>
      <w:r w:rsidR="00E506AD" w:rsidRPr="00061B82">
        <w:rPr>
          <w:rFonts w:ascii="Arial" w:hAnsi="Arial" w:cs="Arial"/>
          <w:bCs/>
          <w:sz w:val="24"/>
          <w:szCs w:val="24"/>
        </w:rPr>
        <w:t>The issues with policies WM2 and WM3 were discussed in the previous report</w:t>
      </w:r>
      <w:r w:rsidR="00F12656" w:rsidRPr="00061B82">
        <w:rPr>
          <w:rFonts w:ascii="Arial" w:hAnsi="Arial" w:cs="Arial"/>
          <w:bCs/>
          <w:sz w:val="24"/>
          <w:szCs w:val="24"/>
        </w:rPr>
        <w:t xml:space="preserve">. It is considered that WM2 is the relevant </w:t>
      </w:r>
      <w:r w:rsidR="00061B82" w:rsidRPr="00061B82">
        <w:rPr>
          <w:rFonts w:ascii="Arial" w:hAnsi="Arial" w:cs="Arial"/>
          <w:bCs/>
          <w:sz w:val="24"/>
          <w:szCs w:val="24"/>
        </w:rPr>
        <w:t>policy,</w:t>
      </w:r>
      <w:r w:rsidR="00F12656" w:rsidRPr="00061B82">
        <w:rPr>
          <w:rFonts w:ascii="Arial" w:hAnsi="Arial" w:cs="Arial"/>
          <w:bCs/>
          <w:sz w:val="24"/>
          <w:szCs w:val="24"/>
        </w:rPr>
        <w:t xml:space="preserve"> and that the proposal is compliant with that policy. In relation to whether these policies are up to date,</w:t>
      </w:r>
      <w:r w:rsidR="00AC0EBE" w:rsidRPr="00061B82">
        <w:rPr>
          <w:rFonts w:ascii="Arial" w:hAnsi="Arial" w:cs="Arial"/>
          <w:bCs/>
          <w:sz w:val="24"/>
          <w:szCs w:val="24"/>
        </w:rPr>
        <w:t xml:space="preserve"> a policy is not out of date simply because it is in </w:t>
      </w:r>
      <w:r w:rsidR="00774925" w:rsidRPr="00061B82">
        <w:rPr>
          <w:rFonts w:ascii="Arial" w:hAnsi="Arial" w:cs="Arial"/>
          <w:bCs/>
          <w:sz w:val="24"/>
          <w:szCs w:val="24"/>
        </w:rPr>
        <w:t xml:space="preserve">a </w:t>
      </w:r>
      <w:r w:rsidR="00AC0EBE" w:rsidRPr="00061B82">
        <w:rPr>
          <w:rFonts w:ascii="Arial" w:hAnsi="Arial" w:cs="Arial"/>
          <w:bCs/>
          <w:sz w:val="24"/>
          <w:szCs w:val="24"/>
        </w:rPr>
        <w:t>time expired plan. This was confirmed in 2020 in the case of Peel v SoS. Policies WM2 and WM3 identify and allocate sites based on identified waste needs. Nothing has changed at these allocated sites to render them unsuitable for allocation and therefore this aspect of the policies is not out of date and the need for them has not reduced.</w:t>
      </w:r>
    </w:p>
    <w:p w14:paraId="044BB617" w14:textId="77777777" w:rsidR="00AC0EBE" w:rsidRPr="00061B82" w:rsidRDefault="00AC0EBE" w:rsidP="007665D4">
      <w:pPr>
        <w:spacing w:after="0"/>
        <w:jc w:val="both"/>
        <w:rPr>
          <w:rFonts w:ascii="Arial" w:hAnsi="Arial" w:cs="Arial"/>
          <w:bCs/>
          <w:sz w:val="24"/>
          <w:szCs w:val="24"/>
        </w:rPr>
      </w:pPr>
    </w:p>
    <w:p w14:paraId="585691A3" w14:textId="1739A44B" w:rsidR="00DA09DB" w:rsidRPr="00061B82" w:rsidRDefault="00F12656" w:rsidP="007665D4">
      <w:pPr>
        <w:spacing w:after="0"/>
        <w:jc w:val="both"/>
        <w:rPr>
          <w:rFonts w:ascii="Arial" w:hAnsi="Arial" w:cs="Arial"/>
          <w:bCs/>
          <w:sz w:val="24"/>
          <w:szCs w:val="24"/>
        </w:rPr>
      </w:pPr>
      <w:r w:rsidRPr="00061B82">
        <w:rPr>
          <w:rFonts w:ascii="Arial" w:hAnsi="Arial" w:cs="Arial"/>
          <w:bCs/>
          <w:sz w:val="24"/>
          <w:szCs w:val="24"/>
        </w:rPr>
        <w:t xml:space="preserve">In addition the paragraph 11 test within the </w:t>
      </w:r>
      <w:r w:rsidR="00061B82">
        <w:rPr>
          <w:rFonts w:ascii="Arial" w:hAnsi="Arial" w:cs="Arial"/>
          <w:bCs/>
          <w:sz w:val="24"/>
          <w:szCs w:val="24"/>
        </w:rPr>
        <w:t>National Planning Policy Framework (</w:t>
      </w:r>
      <w:r w:rsidRPr="00061B82">
        <w:rPr>
          <w:rFonts w:ascii="Arial" w:hAnsi="Arial" w:cs="Arial"/>
          <w:bCs/>
          <w:sz w:val="24"/>
          <w:szCs w:val="24"/>
        </w:rPr>
        <w:t>NPPF</w:t>
      </w:r>
      <w:r w:rsidR="00061B82">
        <w:rPr>
          <w:rFonts w:ascii="Arial" w:hAnsi="Arial" w:cs="Arial"/>
          <w:bCs/>
          <w:sz w:val="24"/>
          <w:szCs w:val="24"/>
        </w:rPr>
        <w:t>)</w:t>
      </w:r>
      <w:r w:rsidRPr="00061B82">
        <w:rPr>
          <w:rFonts w:ascii="Arial" w:hAnsi="Arial" w:cs="Arial"/>
          <w:bCs/>
          <w:sz w:val="24"/>
          <w:szCs w:val="24"/>
        </w:rPr>
        <w:t xml:space="preserve"> relates to the policies of the development plan as a whole and therefore the exercise in deciding whether the proposal is policy compliant must consider the </w:t>
      </w:r>
      <w:r w:rsidR="00774925" w:rsidRPr="00061B82">
        <w:rPr>
          <w:rFonts w:ascii="Arial" w:hAnsi="Arial" w:cs="Arial"/>
          <w:bCs/>
          <w:sz w:val="24"/>
          <w:szCs w:val="24"/>
        </w:rPr>
        <w:t>W</w:t>
      </w:r>
      <w:r w:rsidRPr="00061B82">
        <w:rPr>
          <w:rFonts w:ascii="Arial" w:hAnsi="Arial" w:cs="Arial"/>
          <w:bCs/>
          <w:sz w:val="24"/>
          <w:szCs w:val="24"/>
        </w:rPr>
        <w:t>est Lancashire Local Plan</w:t>
      </w:r>
      <w:r w:rsidR="00434EF7" w:rsidRPr="00061B82">
        <w:rPr>
          <w:rFonts w:ascii="Arial" w:hAnsi="Arial" w:cs="Arial"/>
          <w:bCs/>
          <w:sz w:val="24"/>
          <w:szCs w:val="24"/>
        </w:rPr>
        <w:t xml:space="preserve"> (</w:t>
      </w:r>
      <w:r w:rsidR="00611E72" w:rsidRPr="00061B82">
        <w:rPr>
          <w:rFonts w:ascii="Arial" w:hAnsi="Arial" w:cs="Arial"/>
          <w:bCs/>
          <w:sz w:val="24"/>
          <w:szCs w:val="24"/>
        </w:rPr>
        <w:t>2012 to</w:t>
      </w:r>
      <w:r w:rsidR="00434EF7" w:rsidRPr="00061B82">
        <w:rPr>
          <w:rFonts w:ascii="Arial" w:hAnsi="Arial" w:cs="Arial"/>
          <w:bCs/>
          <w:sz w:val="24"/>
          <w:szCs w:val="24"/>
        </w:rPr>
        <w:t xml:space="preserve"> 2027</w:t>
      </w:r>
      <w:r w:rsidR="004E36F4" w:rsidRPr="00061B82">
        <w:rPr>
          <w:rFonts w:ascii="Arial" w:hAnsi="Arial" w:cs="Arial"/>
          <w:bCs/>
          <w:sz w:val="24"/>
          <w:szCs w:val="24"/>
        </w:rPr>
        <w:t>)</w:t>
      </w:r>
      <w:r w:rsidRPr="00061B82">
        <w:rPr>
          <w:rFonts w:ascii="Arial" w:hAnsi="Arial" w:cs="Arial"/>
          <w:bCs/>
          <w:sz w:val="24"/>
          <w:szCs w:val="24"/>
        </w:rPr>
        <w:t xml:space="preserve"> as well as the Lancashire Minerals and Waste Local Plan</w:t>
      </w:r>
      <w:r w:rsidR="00061B82">
        <w:rPr>
          <w:rFonts w:ascii="Arial" w:hAnsi="Arial" w:cs="Arial"/>
          <w:bCs/>
          <w:sz w:val="24"/>
          <w:szCs w:val="24"/>
        </w:rPr>
        <w:t xml:space="preserve"> (LMWLP)</w:t>
      </w:r>
      <w:r w:rsidRPr="00061B82">
        <w:rPr>
          <w:rFonts w:ascii="Arial" w:hAnsi="Arial" w:cs="Arial"/>
          <w:bCs/>
          <w:sz w:val="24"/>
          <w:szCs w:val="24"/>
        </w:rPr>
        <w:t>.</w:t>
      </w:r>
    </w:p>
    <w:p w14:paraId="166AEC04" w14:textId="1EED11FF" w:rsidR="00E7787A" w:rsidRPr="00061B82" w:rsidRDefault="00E7787A" w:rsidP="007665D4">
      <w:pPr>
        <w:spacing w:after="0"/>
        <w:jc w:val="both"/>
        <w:rPr>
          <w:rFonts w:ascii="Arial" w:hAnsi="Arial" w:cs="Arial"/>
          <w:bCs/>
          <w:sz w:val="24"/>
          <w:szCs w:val="24"/>
        </w:rPr>
      </w:pPr>
    </w:p>
    <w:p w14:paraId="07D8347D" w14:textId="6159BE2B" w:rsidR="00E7787A" w:rsidRPr="00061B82" w:rsidRDefault="00E7787A" w:rsidP="007665D4">
      <w:pPr>
        <w:spacing w:after="0"/>
        <w:jc w:val="both"/>
        <w:rPr>
          <w:rFonts w:ascii="Arial" w:hAnsi="Arial" w:cs="Arial"/>
          <w:bCs/>
          <w:sz w:val="24"/>
          <w:szCs w:val="24"/>
        </w:rPr>
      </w:pPr>
      <w:r w:rsidRPr="00061B82">
        <w:rPr>
          <w:rFonts w:ascii="Arial" w:hAnsi="Arial" w:cs="Arial"/>
          <w:bCs/>
          <w:sz w:val="24"/>
          <w:szCs w:val="24"/>
        </w:rPr>
        <w:t xml:space="preserve">Knowsley have commented on the volume of waste capacity that has been permitted on the Simonswood Industrial Estate. However, it should be remembered that given the location of this site, a large part of this capacity will be dealing with the waste produced from the Merseyside region including from </w:t>
      </w:r>
      <w:r w:rsidR="00774925" w:rsidRPr="00061B82">
        <w:rPr>
          <w:rFonts w:ascii="Arial" w:hAnsi="Arial" w:cs="Arial"/>
          <w:bCs/>
          <w:sz w:val="24"/>
          <w:szCs w:val="24"/>
        </w:rPr>
        <w:t>Knowsley</w:t>
      </w:r>
      <w:r w:rsidRPr="00061B82">
        <w:rPr>
          <w:rFonts w:ascii="Arial" w:hAnsi="Arial" w:cs="Arial"/>
          <w:bCs/>
          <w:sz w:val="24"/>
          <w:szCs w:val="24"/>
        </w:rPr>
        <w:t xml:space="preserve"> and is not waste from Lancashire.</w:t>
      </w:r>
    </w:p>
    <w:p w14:paraId="657A63E6" w14:textId="23576C96" w:rsidR="00E7787A" w:rsidRPr="00061B82" w:rsidRDefault="00E7787A" w:rsidP="007665D4">
      <w:pPr>
        <w:spacing w:after="0"/>
        <w:jc w:val="both"/>
        <w:rPr>
          <w:rFonts w:ascii="Arial" w:hAnsi="Arial" w:cs="Arial"/>
          <w:bCs/>
          <w:sz w:val="24"/>
          <w:szCs w:val="24"/>
        </w:rPr>
      </w:pPr>
    </w:p>
    <w:p w14:paraId="6BED7DE6" w14:textId="0E6D2F3F" w:rsidR="00E7787A" w:rsidRPr="00061B82" w:rsidRDefault="00E7787A" w:rsidP="007665D4">
      <w:pPr>
        <w:spacing w:after="0"/>
        <w:jc w:val="both"/>
        <w:rPr>
          <w:rFonts w:ascii="Arial" w:hAnsi="Arial" w:cs="Arial"/>
          <w:bCs/>
          <w:sz w:val="24"/>
          <w:szCs w:val="24"/>
        </w:rPr>
      </w:pPr>
      <w:r w:rsidRPr="00061B82">
        <w:rPr>
          <w:rFonts w:ascii="Arial" w:hAnsi="Arial" w:cs="Arial"/>
          <w:bCs/>
          <w:sz w:val="24"/>
          <w:szCs w:val="24"/>
        </w:rPr>
        <w:t xml:space="preserve">Finally the </w:t>
      </w:r>
      <w:r w:rsidR="00061B82" w:rsidRPr="00061B82">
        <w:rPr>
          <w:rFonts w:ascii="Arial" w:hAnsi="Arial" w:cs="Arial"/>
          <w:bCs/>
          <w:sz w:val="24"/>
          <w:szCs w:val="24"/>
        </w:rPr>
        <w:t>Lancashire Minerals and Waste Local Plan</w:t>
      </w:r>
      <w:r w:rsidR="00061B82" w:rsidRPr="00061B82">
        <w:rPr>
          <w:rFonts w:ascii="Arial" w:hAnsi="Arial" w:cs="Arial"/>
          <w:bCs/>
          <w:sz w:val="24"/>
          <w:szCs w:val="24"/>
        </w:rPr>
        <w:t xml:space="preserve"> </w:t>
      </w:r>
      <w:r w:rsidR="00061B82">
        <w:rPr>
          <w:rFonts w:ascii="Arial" w:hAnsi="Arial" w:cs="Arial"/>
          <w:bCs/>
          <w:sz w:val="24"/>
          <w:szCs w:val="24"/>
        </w:rPr>
        <w:t xml:space="preserve">(LMWLP) </w:t>
      </w:r>
      <w:r w:rsidRPr="00061B82">
        <w:rPr>
          <w:rFonts w:ascii="Arial" w:hAnsi="Arial" w:cs="Arial"/>
          <w:bCs/>
          <w:sz w:val="24"/>
          <w:szCs w:val="24"/>
        </w:rPr>
        <w:t xml:space="preserve">does not prevent small scale thermal treatment. To do so would be contrary to national policy. Thermal treatment facilities are excluded from policy WM3 </w:t>
      </w:r>
      <w:r w:rsidR="00774925" w:rsidRPr="00061B82">
        <w:rPr>
          <w:rFonts w:ascii="Arial" w:hAnsi="Arial" w:cs="Arial"/>
          <w:bCs/>
          <w:sz w:val="24"/>
          <w:szCs w:val="24"/>
        </w:rPr>
        <w:t xml:space="preserve">because the scale of such </w:t>
      </w:r>
      <w:r w:rsidR="00061B82" w:rsidRPr="00061B82">
        <w:rPr>
          <w:rFonts w:ascii="Arial" w:hAnsi="Arial" w:cs="Arial"/>
          <w:bCs/>
          <w:sz w:val="24"/>
          <w:szCs w:val="24"/>
        </w:rPr>
        <w:t>development would</w:t>
      </w:r>
      <w:r w:rsidR="00774925" w:rsidRPr="00061B82">
        <w:rPr>
          <w:rFonts w:ascii="Arial" w:hAnsi="Arial" w:cs="Arial"/>
          <w:bCs/>
          <w:sz w:val="24"/>
          <w:szCs w:val="24"/>
        </w:rPr>
        <w:t xml:space="preserve"> usually make them</w:t>
      </w:r>
      <w:r w:rsidR="00871C38" w:rsidRPr="00061B82">
        <w:rPr>
          <w:rFonts w:ascii="Arial" w:hAnsi="Arial" w:cs="Arial"/>
          <w:bCs/>
          <w:sz w:val="24"/>
          <w:szCs w:val="24"/>
        </w:rPr>
        <w:t xml:space="preserve"> unsuitable </w:t>
      </w:r>
      <w:r w:rsidR="00774925" w:rsidRPr="00061B82">
        <w:rPr>
          <w:rFonts w:ascii="Arial" w:hAnsi="Arial" w:cs="Arial"/>
          <w:bCs/>
          <w:sz w:val="24"/>
          <w:szCs w:val="24"/>
        </w:rPr>
        <w:t>for</w:t>
      </w:r>
      <w:r w:rsidR="00871C38" w:rsidRPr="00061B82">
        <w:rPr>
          <w:rFonts w:ascii="Arial" w:hAnsi="Arial" w:cs="Arial"/>
          <w:bCs/>
          <w:sz w:val="24"/>
          <w:szCs w:val="24"/>
        </w:rPr>
        <w:t xml:space="preserve"> the sites listed in policy WM3</w:t>
      </w:r>
      <w:r w:rsidR="00774925" w:rsidRPr="00061B82">
        <w:rPr>
          <w:rFonts w:ascii="Arial" w:hAnsi="Arial" w:cs="Arial"/>
          <w:bCs/>
          <w:sz w:val="24"/>
          <w:szCs w:val="24"/>
        </w:rPr>
        <w:t>. However that is not the case here where the development is small scale.</w:t>
      </w:r>
    </w:p>
    <w:p w14:paraId="795F3C2B" w14:textId="55943967" w:rsidR="00DA09DB" w:rsidRPr="00061B82" w:rsidRDefault="00DA09DB" w:rsidP="007665D4">
      <w:pPr>
        <w:spacing w:after="0"/>
        <w:jc w:val="both"/>
        <w:rPr>
          <w:rFonts w:ascii="Arial" w:hAnsi="Arial" w:cs="Arial"/>
          <w:bCs/>
          <w:sz w:val="24"/>
          <w:szCs w:val="24"/>
        </w:rPr>
      </w:pPr>
    </w:p>
    <w:p w14:paraId="326B00F5" w14:textId="253435A1" w:rsidR="00DA09DB" w:rsidRPr="00061B82" w:rsidRDefault="00DA09DB" w:rsidP="007665D4">
      <w:pPr>
        <w:spacing w:after="0"/>
        <w:jc w:val="both"/>
        <w:rPr>
          <w:rFonts w:ascii="Arial" w:hAnsi="Arial" w:cs="Arial"/>
          <w:bCs/>
          <w:sz w:val="24"/>
          <w:szCs w:val="24"/>
        </w:rPr>
      </w:pPr>
      <w:r w:rsidRPr="00061B82">
        <w:rPr>
          <w:rFonts w:ascii="Arial" w:hAnsi="Arial" w:cs="Arial"/>
          <w:bCs/>
          <w:sz w:val="24"/>
          <w:szCs w:val="24"/>
        </w:rPr>
        <w:t xml:space="preserve">Habitats Regulations </w:t>
      </w:r>
      <w:r w:rsidR="00061B82" w:rsidRPr="00061B82">
        <w:rPr>
          <w:rFonts w:ascii="Arial" w:hAnsi="Arial" w:cs="Arial"/>
          <w:bCs/>
          <w:sz w:val="24"/>
          <w:szCs w:val="24"/>
        </w:rPr>
        <w:t>Assessment:</w:t>
      </w:r>
      <w:r w:rsidRPr="00061B82">
        <w:rPr>
          <w:rFonts w:ascii="Arial" w:hAnsi="Arial" w:cs="Arial"/>
          <w:bCs/>
          <w:sz w:val="24"/>
          <w:szCs w:val="24"/>
        </w:rPr>
        <w:t xml:space="preserve"> A </w:t>
      </w:r>
      <w:r w:rsidR="00061B82">
        <w:rPr>
          <w:rFonts w:ascii="Arial" w:hAnsi="Arial" w:cs="Arial"/>
          <w:bCs/>
          <w:sz w:val="24"/>
          <w:szCs w:val="24"/>
        </w:rPr>
        <w:t>Habitats Regulations Assessment (HRA)</w:t>
      </w:r>
      <w:r w:rsidRPr="00061B82">
        <w:rPr>
          <w:rFonts w:ascii="Arial" w:hAnsi="Arial" w:cs="Arial"/>
          <w:bCs/>
          <w:sz w:val="24"/>
          <w:szCs w:val="24"/>
        </w:rPr>
        <w:t xml:space="preserve"> has been produced and Natural England are satisfied with its conclusions.</w:t>
      </w:r>
    </w:p>
    <w:p w14:paraId="0B5F1BCB" w14:textId="5AB9EEF8" w:rsidR="00DA09DB" w:rsidRPr="00061B82" w:rsidRDefault="00DA09DB" w:rsidP="007665D4">
      <w:pPr>
        <w:spacing w:after="0"/>
        <w:jc w:val="both"/>
        <w:rPr>
          <w:rFonts w:ascii="Arial" w:hAnsi="Arial" w:cs="Arial"/>
          <w:bCs/>
          <w:sz w:val="24"/>
          <w:szCs w:val="24"/>
        </w:rPr>
      </w:pPr>
    </w:p>
    <w:p w14:paraId="2A119116" w14:textId="6B6CB77F" w:rsidR="00DA09DB" w:rsidRPr="00061B82" w:rsidRDefault="00DA09DB" w:rsidP="007665D4">
      <w:pPr>
        <w:spacing w:after="0"/>
        <w:jc w:val="both"/>
        <w:rPr>
          <w:rFonts w:ascii="Arial" w:hAnsi="Arial" w:cs="Arial"/>
          <w:bCs/>
          <w:sz w:val="24"/>
          <w:szCs w:val="24"/>
        </w:rPr>
      </w:pPr>
      <w:r w:rsidRPr="00061B82">
        <w:rPr>
          <w:rFonts w:ascii="Arial" w:hAnsi="Arial" w:cs="Arial"/>
          <w:bCs/>
          <w:sz w:val="24"/>
          <w:szCs w:val="24"/>
        </w:rPr>
        <w:t xml:space="preserve">Environmental Impact </w:t>
      </w:r>
      <w:r w:rsidR="00061B82" w:rsidRPr="00061B82">
        <w:rPr>
          <w:rFonts w:ascii="Arial" w:hAnsi="Arial" w:cs="Arial"/>
          <w:bCs/>
          <w:sz w:val="24"/>
          <w:szCs w:val="24"/>
        </w:rPr>
        <w:t>Assessment:</w:t>
      </w:r>
      <w:r w:rsidRPr="00061B82">
        <w:rPr>
          <w:rFonts w:ascii="Arial" w:hAnsi="Arial" w:cs="Arial"/>
          <w:bCs/>
          <w:sz w:val="24"/>
          <w:szCs w:val="24"/>
        </w:rPr>
        <w:t xml:space="preserve"> Given the location </w:t>
      </w:r>
      <w:r w:rsidR="00B71A18" w:rsidRPr="00061B82">
        <w:rPr>
          <w:rFonts w:ascii="Arial" w:hAnsi="Arial" w:cs="Arial"/>
          <w:bCs/>
          <w:sz w:val="24"/>
          <w:szCs w:val="24"/>
        </w:rPr>
        <w:t xml:space="preserve">and scale </w:t>
      </w:r>
      <w:r w:rsidRPr="00061B82">
        <w:rPr>
          <w:rFonts w:ascii="Arial" w:hAnsi="Arial" w:cs="Arial"/>
          <w:bCs/>
          <w:sz w:val="24"/>
          <w:szCs w:val="24"/>
        </w:rPr>
        <w:t>of the</w:t>
      </w:r>
      <w:r w:rsidR="00B71A18" w:rsidRPr="00061B82">
        <w:rPr>
          <w:rFonts w:ascii="Arial" w:hAnsi="Arial" w:cs="Arial"/>
          <w:bCs/>
          <w:sz w:val="24"/>
          <w:szCs w:val="24"/>
        </w:rPr>
        <w:t xml:space="preserve"> </w:t>
      </w:r>
      <w:r w:rsidR="00061B82" w:rsidRPr="00061B82">
        <w:rPr>
          <w:rFonts w:ascii="Arial" w:hAnsi="Arial" w:cs="Arial"/>
          <w:bCs/>
          <w:sz w:val="24"/>
          <w:szCs w:val="24"/>
        </w:rPr>
        <w:t>development, landscape</w:t>
      </w:r>
      <w:r w:rsidRPr="00061B82">
        <w:rPr>
          <w:rFonts w:ascii="Arial" w:hAnsi="Arial" w:cs="Arial"/>
          <w:bCs/>
          <w:sz w:val="24"/>
          <w:szCs w:val="24"/>
        </w:rPr>
        <w:t xml:space="preserve"> issues were excluded from the </w:t>
      </w:r>
      <w:r w:rsidR="00061B82" w:rsidRPr="00061B82">
        <w:rPr>
          <w:rFonts w:ascii="Arial" w:hAnsi="Arial" w:cs="Arial"/>
          <w:bCs/>
          <w:sz w:val="24"/>
          <w:szCs w:val="24"/>
        </w:rPr>
        <w:t>Environmental Impact Assessment</w:t>
      </w:r>
      <w:r w:rsidR="00061B82" w:rsidRPr="00061B82">
        <w:rPr>
          <w:rFonts w:ascii="Arial" w:hAnsi="Arial" w:cs="Arial"/>
          <w:bCs/>
          <w:sz w:val="24"/>
          <w:szCs w:val="24"/>
        </w:rPr>
        <w:t xml:space="preserve"> </w:t>
      </w:r>
      <w:r w:rsidR="00061B82">
        <w:rPr>
          <w:rFonts w:ascii="Arial" w:hAnsi="Arial" w:cs="Arial"/>
          <w:bCs/>
          <w:sz w:val="24"/>
          <w:szCs w:val="24"/>
        </w:rPr>
        <w:t>(</w:t>
      </w:r>
      <w:r w:rsidRPr="00061B82">
        <w:rPr>
          <w:rFonts w:ascii="Arial" w:hAnsi="Arial" w:cs="Arial"/>
          <w:bCs/>
          <w:sz w:val="24"/>
          <w:szCs w:val="24"/>
        </w:rPr>
        <w:t>EIA</w:t>
      </w:r>
      <w:r w:rsidR="00061B82">
        <w:rPr>
          <w:rFonts w:ascii="Arial" w:hAnsi="Arial" w:cs="Arial"/>
          <w:bCs/>
          <w:sz w:val="24"/>
          <w:szCs w:val="24"/>
        </w:rPr>
        <w:t>)</w:t>
      </w:r>
      <w:r w:rsidRPr="00061B82">
        <w:rPr>
          <w:rFonts w:ascii="Arial" w:hAnsi="Arial" w:cs="Arial"/>
          <w:bCs/>
          <w:sz w:val="24"/>
          <w:szCs w:val="24"/>
        </w:rPr>
        <w:t xml:space="preserve"> at scoping stage.</w:t>
      </w:r>
      <w:r w:rsidR="00B71A18" w:rsidRPr="00061B82">
        <w:rPr>
          <w:rFonts w:ascii="Arial" w:hAnsi="Arial" w:cs="Arial"/>
          <w:bCs/>
          <w:sz w:val="24"/>
          <w:szCs w:val="24"/>
        </w:rPr>
        <w:t xml:space="preserve"> The increase in stack height was not considered to be such a significant change that the </w:t>
      </w:r>
      <w:r w:rsidR="00061B82" w:rsidRPr="00061B82">
        <w:rPr>
          <w:rFonts w:ascii="Arial" w:hAnsi="Arial" w:cs="Arial"/>
          <w:bCs/>
          <w:sz w:val="24"/>
          <w:szCs w:val="24"/>
        </w:rPr>
        <w:t>Environmental Impact Assessment</w:t>
      </w:r>
      <w:r w:rsidR="00061B82" w:rsidRPr="00061B82">
        <w:rPr>
          <w:rFonts w:ascii="Arial" w:hAnsi="Arial" w:cs="Arial"/>
          <w:bCs/>
          <w:sz w:val="24"/>
          <w:szCs w:val="24"/>
        </w:rPr>
        <w:t xml:space="preserve"> </w:t>
      </w:r>
      <w:r w:rsidR="00061B82">
        <w:rPr>
          <w:rFonts w:ascii="Arial" w:hAnsi="Arial" w:cs="Arial"/>
          <w:bCs/>
          <w:sz w:val="24"/>
          <w:szCs w:val="24"/>
        </w:rPr>
        <w:t>(</w:t>
      </w:r>
      <w:r w:rsidR="00B71A18" w:rsidRPr="00061B82">
        <w:rPr>
          <w:rFonts w:ascii="Arial" w:hAnsi="Arial" w:cs="Arial"/>
          <w:bCs/>
          <w:sz w:val="24"/>
          <w:szCs w:val="24"/>
        </w:rPr>
        <w:t>EIA</w:t>
      </w:r>
      <w:r w:rsidR="00061B82">
        <w:rPr>
          <w:rFonts w:ascii="Arial" w:hAnsi="Arial" w:cs="Arial"/>
          <w:bCs/>
          <w:sz w:val="24"/>
          <w:szCs w:val="24"/>
        </w:rPr>
        <w:t>)</w:t>
      </w:r>
      <w:r w:rsidR="00B71A18" w:rsidRPr="00061B82">
        <w:rPr>
          <w:rFonts w:ascii="Arial" w:hAnsi="Arial" w:cs="Arial"/>
          <w:bCs/>
          <w:sz w:val="24"/>
          <w:szCs w:val="24"/>
        </w:rPr>
        <w:t xml:space="preserve"> should be revisited </w:t>
      </w:r>
      <w:r w:rsidR="0055664D">
        <w:rPr>
          <w:rFonts w:ascii="Arial" w:hAnsi="Arial" w:cs="Arial"/>
          <w:bCs/>
          <w:sz w:val="24"/>
          <w:szCs w:val="24"/>
        </w:rPr>
        <w:t>to</w:t>
      </w:r>
      <w:r w:rsidR="00B71A18" w:rsidRPr="00061B82">
        <w:rPr>
          <w:rFonts w:ascii="Arial" w:hAnsi="Arial" w:cs="Arial"/>
          <w:bCs/>
          <w:sz w:val="24"/>
          <w:szCs w:val="24"/>
        </w:rPr>
        <w:t xml:space="preserve"> include landscape issues. However, the noise chapter of the </w:t>
      </w:r>
      <w:r w:rsidR="00061B82">
        <w:rPr>
          <w:rFonts w:ascii="Arial" w:hAnsi="Arial" w:cs="Arial"/>
          <w:bCs/>
          <w:sz w:val="24"/>
          <w:szCs w:val="24"/>
        </w:rPr>
        <w:t>Environmental Statement (</w:t>
      </w:r>
      <w:r w:rsidR="00B71A18" w:rsidRPr="00061B82">
        <w:rPr>
          <w:rFonts w:ascii="Arial" w:hAnsi="Arial" w:cs="Arial"/>
          <w:bCs/>
          <w:sz w:val="24"/>
          <w:szCs w:val="24"/>
        </w:rPr>
        <w:t>ES</w:t>
      </w:r>
      <w:r w:rsidR="00061B82">
        <w:rPr>
          <w:rFonts w:ascii="Arial" w:hAnsi="Arial" w:cs="Arial"/>
          <w:bCs/>
          <w:sz w:val="24"/>
          <w:szCs w:val="24"/>
        </w:rPr>
        <w:t>)</w:t>
      </w:r>
      <w:r w:rsidR="00B71A18" w:rsidRPr="00061B82">
        <w:rPr>
          <w:rFonts w:ascii="Arial" w:hAnsi="Arial" w:cs="Arial"/>
          <w:bCs/>
          <w:sz w:val="24"/>
          <w:szCs w:val="24"/>
        </w:rPr>
        <w:t xml:space="preserve"> was updated to assess the additional impacts of the </w:t>
      </w:r>
      <w:r w:rsidR="0055664D">
        <w:rPr>
          <w:rFonts w:ascii="Arial" w:hAnsi="Arial" w:cs="Arial"/>
          <w:bCs/>
          <w:sz w:val="24"/>
          <w:szCs w:val="24"/>
        </w:rPr>
        <w:t>Organic Rankine Cycle (ORC)</w:t>
      </w:r>
      <w:r w:rsidR="00B71A18" w:rsidRPr="00061B82">
        <w:rPr>
          <w:rFonts w:ascii="Arial" w:hAnsi="Arial" w:cs="Arial"/>
          <w:bCs/>
          <w:sz w:val="24"/>
          <w:szCs w:val="24"/>
        </w:rPr>
        <w:t xml:space="preserve"> engine.</w:t>
      </w:r>
    </w:p>
    <w:p w14:paraId="4DFB27B9" w14:textId="372FB49B" w:rsidR="00B71A18" w:rsidRPr="00061B82" w:rsidRDefault="00B71A18" w:rsidP="007665D4">
      <w:pPr>
        <w:spacing w:after="0"/>
        <w:jc w:val="both"/>
        <w:rPr>
          <w:rFonts w:ascii="Arial" w:hAnsi="Arial" w:cs="Arial"/>
          <w:bCs/>
          <w:sz w:val="24"/>
          <w:szCs w:val="24"/>
        </w:rPr>
      </w:pPr>
    </w:p>
    <w:p w14:paraId="3C307454" w14:textId="2FA19931" w:rsidR="00B71A18" w:rsidRPr="00061B82" w:rsidRDefault="00B71A18" w:rsidP="007665D4">
      <w:pPr>
        <w:spacing w:after="0"/>
        <w:jc w:val="both"/>
        <w:rPr>
          <w:rFonts w:ascii="Arial" w:hAnsi="Arial" w:cs="Arial"/>
          <w:bCs/>
          <w:sz w:val="24"/>
          <w:szCs w:val="24"/>
        </w:rPr>
      </w:pPr>
      <w:r w:rsidRPr="00061B82">
        <w:rPr>
          <w:rFonts w:ascii="Arial" w:hAnsi="Arial" w:cs="Arial"/>
          <w:bCs/>
          <w:sz w:val="24"/>
          <w:szCs w:val="24"/>
        </w:rPr>
        <w:t xml:space="preserve">Atkins </w:t>
      </w:r>
      <w:r w:rsidR="00061B82" w:rsidRPr="00061B82">
        <w:rPr>
          <w:rFonts w:ascii="Arial" w:hAnsi="Arial" w:cs="Arial"/>
          <w:bCs/>
          <w:sz w:val="24"/>
          <w:szCs w:val="24"/>
        </w:rPr>
        <w:t>report:</w:t>
      </w:r>
      <w:r w:rsidRPr="00061B82">
        <w:rPr>
          <w:rFonts w:ascii="Arial" w:hAnsi="Arial" w:cs="Arial"/>
          <w:bCs/>
          <w:sz w:val="24"/>
          <w:szCs w:val="24"/>
        </w:rPr>
        <w:t xml:space="preserve"> In relation to the concerns about chromium V, there was no baseline data in the local area for the applicant to use for the assessment of this pollutant. </w:t>
      </w:r>
      <w:r w:rsidRPr="00061B82">
        <w:rPr>
          <w:rFonts w:ascii="Arial" w:hAnsi="Arial" w:cs="Arial"/>
          <w:bCs/>
          <w:sz w:val="24"/>
          <w:szCs w:val="24"/>
        </w:rPr>
        <w:lastRenderedPageBreak/>
        <w:t xml:space="preserve">Baseline data for the nearest </w:t>
      </w:r>
      <w:r w:rsidR="007B113F" w:rsidRPr="00061B82">
        <w:rPr>
          <w:rFonts w:ascii="Arial" w:hAnsi="Arial" w:cs="Arial"/>
          <w:bCs/>
          <w:sz w:val="24"/>
          <w:szCs w:val="24"/>
        </w:rPr>
        <w:t xml:space="preserve">monitoring location was therefore used which is in Runcorn. The background levels of various metal pollutants are likely to </w:t>
      </w:r>
      <w:r w:rsidR="007D36BC" w:rsidRPr="00061B82">
        <w:rPr>
          <w:rFonts w:ascii="Arial" w:hAnsi="Arial" w:cs="Arial"/>
          <w:bCs/>
          <w:sz w:val="24"/>
          <w:szCs w:val="24"/>
        </w:rPr>
        <w:t xml:space="preserve">be </w:t>
      </w:r>
      <w:r w:rsidR="007B113F" w:rsidRPr="00061B82">
        <w:rPr>
          <w:rFonts w:ascii="Arial" w:hAnsi="Arial" w:cs="Arial"/>
          <w:bCs/>
          <w:sz w:val="24"/>
          <w:szCs w:val="24"/>
        </w:rPr>
        <w:t xml:space="preserve">considerably higher in the Runcorn area than Simonswood due to the </w:t>
      </w:r>
      <w:r w:rsidR="007D36BC" w:rsidRPr="00061B82">
        <w:rPr>
          <w:rFonts w:ascii="Arial" w:hAnsi="Arial" w:cs="Arial"/>
          <w:bCs/>
          <w:sz w:val="24"/>
          <w:szCs w:val="24"/>
        </w:rPr>
        <w:t xml:space="preserve">higher level of </w:t>
      </w:r>
      <w:r w:rsidR="007B113F" w:rsidRPr="00061B82">
        <w:rPr>
          <w:rFonts w:ascii="Arial" w:hAnsi="Arial" w:cs="Arial"/>
          <w:bCs/>
          <w:sz w:val="24"/>
          <w:szCs w:val="24"/>
        </w:rPr>
        <w:t>industrial activit</w:t>
      </w:r>
      <w:r w:rsidR="007D36BC" w:rsidRPr="00061B82">
        <w:rPr>
          <w:rFonts w:ascii="Arial" w:hAnsi="Arial" w:cs="Arial"/>
          <w:bCs/>
          <w:sz w:val="24"/>
          <w:szCs w:val="24"/>
        </w:rPr>
        <w:t>y</w:t>
      </w:r>
      <w:r w:rsidR="007B113F" w:rsidRPr="00061B82">
        <w:rPr>
          <w:rFonts w:ascii="Arial" w:hAnsi="Arial" w:cs="Arial"/>
          <w:bCs/>
          <w:sz w:val="24"/>
          <w:szCs w:val="24"/>
        </w:rPr>
        <w:t xml:space="preserve"> in that area. Atkins </w:t>
      </w:r>
      <w:r w:rsidR="007D36BC" w:rsidRPr="00061B82">
        <w:rPr>
          <w:rFonts w:ascii="Arial" w:hAnsi="Arial" w:cs="Arial"/>
          <w:bCs/>
          <w:sz w:val="24"/>
          <w:szCs w:val="24"/>
        </w:rPr>
        <w:t>are</w:t>
      </w:r>
      <w:r w:rsidR="007B113F" w:rsidRPr="00061B82">
        <w:rPr>
          <w:rFonts w:ascii="Arial" w:hAnsi="Arial" w:cs="Arial"/>
          <w:bCs/>
          <w:sz w:val="24"/>
          <w:szCs w:val="24"/>
        </w:rPr>
        <w:t xml:space="preserve"> satisfied with the applicants modelling approach which is sufficiently conservative</w:t>
      </w:r>
      <w:r w:rsidR="000F5905" w:rsidRPr="00061B82">
        <w:rPr>
          <w:rFonts w:ascii="Arial" w:hAnsi="Arial" w:cs="Arial"/>
          <w:bCs/>
          <w:sz w:val="24"/>
          <w:szCs w:val="24"/>
        </w:rPr>
        <w:t xml:space="preserve"> due to the use of data from areas where metals concentrations will be higher than Simonswood.</w:t>
      </w:r>
    </w:p>
    <w:p w14:paraId="4D240265" w14:textId="797CC80F" w:rsidR="00E506AD" w:rsidRPr="00061B82" w:rsidRDefault="00E506AD" w:rsidP="007665D4">
      <w:pPr>
        <w:spacing w:after="0"/>
        <w:jc w:val="both"/>
        <w:rPr>
          <w:rFonts w:ascii="Arial" w:hAnsi="Arial" w:cs="Arial"/>
          <w:bCs/>
          <w:sz w:val="24"/>
          <w:szCs w:val="24"/>
        </w:rPr>
      </w:pPr>
    </w:p>
    <w:p w14:paraId="4313F2D1" w14:textId="4FB611BB" w:rsidR="00E506AD" w:rsidRPr="00061B82" w:rsidRDefault="00E506AD" w:rsidP="007665D4">
      <w:pPr>
        <w:spacing w:after="0"/>
        <w:jc w:val="both"/>
        <w:rPr>
          <w:rFonts w:ascii="Arial" w:hAnsi="Arial" w:cs="Arial"/>
          <w:bCs/>
          <w:sz w:val="24"/>
          <w:szCs w:val="24"/>
        </w:rPr>
      </w:pPr>
      <w:r w:rsidRPr="00061B82">
        <w:rPr>
          <w:rFonts w:ascii="Arial" w:hAnsi="Arial" w:cs="Arial"/>
          <w:bCs/>
          <w:sz w:val="24"/>
          <w:szCs w:val="24"/>
        </w:rPr>
        <w:t xml:space="preserve">Energy </w:t>
      </w:r>
      <w:r w:rsidR="00061B82" w:rsidRPr="00061B82">
        <w:rPr>
          <w:rFonts w:ascii="Arial" w:hAnsi="Arial" w:cs="Arial"/>
          <w:bCs/>
          <w:sz w:val="24"/>
          <w:szCs w:val="24"/>
        </w:rPr>
        <w:t>recovery:</w:t>
      </w:r>
      <w:r w:rsidRPr="00061B82">
        <w:rPr>
          <w:rFonts w:ascii="Arial" w:hAnsi="Arial" w:cs="Arial"/>
          <w:bCs/>
          <w:sz w:val="24"/>
          <w:szCs w:val="24"/>
        </w:rPr>
        <w:t xml:space="preserve"> this issue is addressed in the report to the </w:t>
      </w:r>
      <w:r w:rsidR="00061B82" w:rsidRPr="00061B82">
        <w:rPr>
          <w:rFonts w:ascii="Arial" w:hAnsi="Arial" w:cs="Arial"/>
          <w:bCs/>
          <w:sz w:val="24"/>
          <w:szCs w:val="24"/>
        </w:rPr>
        <w:t>7</w:t>
      </w:r>
      <w:r w:rsidR="0055664D">
        <w:rPr>
          <w:rFonts w:ascii="Arial" w:hAnsi="Arial" w:cs="Arial"/>
          <w:bCs/>
          <w:sz w:val="24"/>
          <w:szCs w:val="24"/>
          <w:vertAlign w:val="superscript"/>
        </w:rPr>
        <w:t xml:space="preserve"> </w:t>
      </w:r>
      <w:r w:rsidRPr="00061B82">
        <w:rPr>
          <w:rFonts w:ascii="Arial" w:hAnsi="Arial" w:cs="Arial"/>
          <w:bCs/>
          <w:sz w:val="24"/>
          <w:szCs w:val="24"/>
        </w:rPr>
        <w:t xml:space="preserve">September Committee. The application was amended to specifically include new equipment to achieve policy compliance with policy </w:t>
      </w:r>
      <w:r w:rsidR="007D36BC" w:rsidRPr="00061B82">
        <w:rPr>
          <w:rFonts w:ascii="Arial" w:hAnsi="Arial" w:cs="Arial"/>
          <w:bCs/>
          <w:sz w:val="24"/>
          <w:szCs w:val="24"/>
        </w:rPr>
        <w:t>D</w:t>
      </w:r>
      <w:r w:rsidRPr="00061B82">
        <w:rPr>
          <w:rFonts w:ascii="Arial" w:hAnsi="Arial" w:cs="Arial"/>
          <w:bCs/>
          <w:sz w:val="24"/>
          <w:szCs w:val="24"/>
        </w:rPr>
        <w:t>M4. A user for the surplus electricity has been identified and the applicant has a</w:t>
      </w:r>
      <w:r w:rsidR="00352F69" w:rsidRPr="00061B82">
        <w:rPr>
          <w:rFonts w:ascii="Arial" w:hAnsi="Arial" w:cs="Arial"/>
          <w:bCs/>
          <w:sz w:val="24"/>
          <w:szCs w:val="24"/>
        </w:rPr>
        <w:t>n agreeme</w:t>
      </w:r>
      <w:r w:rsidR="00DB0185" w:rsidRPr="00061B82">
        <w:rPr>
          <w:rFonts w:ascii="Arial" w:hAnsi="Arial" w:cs="Arial"/>
          <w:bCs/>
          <w:sz w:val="24"/>
          <w:szCs w:val="24"/>
        </w:rPr>
        <w:t>n</w:t>
      </w:r>
      <w:r w:rsidR="00352F69" w:rsidRPr="00061B82">
        <w:rPr>
          <w:rFonts w:ascii="Arial" w:hAnsi="Arial" w:cs="Arial"/>
          <w:bCs/>
          <w:sz w:val="24"/>
          <w:szCs w:val="24"/>
        </w:rPr>
        <w:t>t</w:t>
      </w:r>
      <w:r w:rsidRPr="00061B82">
        <w:rPr>
          <w:rFonts w:ascii="Arial" w:hAnsi="Arial" w:cs="Arial"/>
          <w:bCs/>
          <w:sz w:val="24"/>
          <w:szCs w:val="24"/>
        </w:rPr>
        <w:t xml:space="preserve"> in place for the supply of this power</w:t>
      </w:r>
      <w:r w:rsidR="00352F69" w:rsidRPr="00061B82">
        <w:rPr>
          <w:rFonts w:ascii="Arial" w:hAnsi="Arial" w:cs="Arial"/>
          <w:bCs/>
          <w:sz w:val="24"/>
          <w:szCs w:val="24"/>
        </w:rPr>
        <w:t xml:space="preserve"> which has been seen by county council officers</w:t>
      </w:r>
      <w:r w:rsidRPr="00061B82">
        <w:rPr>
          <w:rFonts w:ascii="Arial" w:hAnsi="Arial" w:cs="Arial"/>
          <w:bCs/>
          <w:sz w:val="24"/>
          <w:szCs w:val="24"/>
        </w:rPr>
        <w:t>. In the event that the identified user ceases to operate, condition 4 requires a review of the situation. There are other potential users in the locality for the electrical energy and</w:t>
      </w:r>
      <w:r w:rsidR="00DB0185" w:rsidRPr="00061B82">
        <w:rPr>
          <w:rFonts w:ascii="Arial" w:hAnsi="Arial" w:cs="Arial"/>
          <w:bCs/>
          <w:sz w:val="24"/>
          <w:szCs w:val="24"/>
        </w:rPr>
        <w:t>/</w:t>
      </w:r>
      <w:r w:rsidRPr="00061B82">
        <w:rPr>
          <w:rFonts w:ascii="Arial" w:hAnsi="Arial" w:cs="Arial"/>
          <w:bCs/>
          <w:sz w:val="24"/>
          <w:szCs w:val="24"/>
        </w:rPr>
        <w:t>or heat. When the aggregates washing plant is not operational (during the night) the excess power can be exported to the grid.</w:t>
      </w:r>
    </w:p>
    <w:p w14:paraId="6AAF9B30" w14:textId="6DE1776C" w:rsidR="00DA09DB" w:rsidRPr="00061B82" w:rsidRDefault="00DA09DB" w:rsidP="007665D4">
      <w:pPr>
        <w:spacing w:after="0"/>
        <w:jc w:val="both"/>
        <w:rPr>
          <w:rFonts w:ascii="Arial" w:hAnsi="Arial" w:cs="Arial"/>
          <w:bCs/>
          <w:sz w:val="24"/>
          <w:szCs w:val="24"/>
        </w:rPr>
      </w:pPr>
    </w:p>
    <w:p w14:paraId="7DAF5527" w14:textId="40784B75" w:rsidR="00DA09DB" w:rsidRPr="00061B82" w:rsidRDefault="0055664D" w:rsidP="007665D4">
      <w:pPr>
        <w:spacing w:after="0"/>
        <w:jc w:val="both"/>
        <w:rPr>
          <w:rFonts w:ascii="Arial" w:hAnsi="Arial" w:cs="Arial"/>
          <w:bCs/>
          <w:sz w:val="24"/>
          <w:szCs w:val="24"/>
        </w:rPr>
      </w:pPr>
      <w:r>
        <w:rPr>
          <w:rFonts w:ascii="Arial" w:hAnsi="Arial" w:cs="Arial"/>
          <w:bCs/>
          <w:sz w:val="24"/>
          <w:szCs w:val="24"/>
        </w:rPr>
        <w:t>Heavy Goods Vehicles</w:t>
      </w:r>
      <w:r w:rsidR="00BE4EC2" w:rsidRPr="00061B82">
        <w:rPr>
          <w:rFonts w:ascii="Arial" w:hAnsi="Arial" w:cs="Arial"/>
          <w:bCs/>
          <w:sz w:val="24"/>
          <w:szCs w:val="24"/>
        </w:rPr>
        <w:t xml:space="preserve">:  The site will generate a small number of </w:t>
      </w:r>
      <w:r>
        <w:rPr>
          <w:rFonts w:ascii="Arial" w:hAnsi="Arial" w:cs="Arial"/>
          <w:bCs/>
          <w:sz w:val="24"/>
          <w:szCs w:val="24"/>
        </w:rPr>
        <w:t>heavy goods vehicles (</w:t>
      </w:r>
      <w:r w:rsidR="00BE4EC2" w:rsidRPr="00061B82">
        <w:rPr>
          <w:rFonts w:ascii="Arial" w:hAnsi="Arial" w:cs="Arial"/>
          <w:bCs/>
          <w:sz w:val="24"/>
          <w:szCs w:val="24"/>
        </w:rPr>
        <w:t>HGVs</w:t>
      </w:r>
      <w:r>
        <w:rPr>
          <w:rFonts w:ascii="Arial" w:hAnsi="Arial" w:cs="Arial"/>
          <w:bCs/>
          <w:sz w:val="24"/>
          <w:szCs w:val="24"/>
        </w:rPr>
        <w:t>),</w:t>
      </w:r>
      <w:r w:rsidR="00BE4EC2" w:rsidRPr="00061B82">
        <w:rPr>
          <w:rFonts w:ascii="Arial" w:hAnsi="Arial" w:cs="Arial"/>
          <w:bCs/>
          <w:sz w:val="24"/>
          <w:szCs w:val="24"/>
        </w:rPr>
        <w:t xml:space="preserve"> (12 per day) compared to the much higher number already o</w:t>
      </w:r>
      <w:r w:rsidR="00273A01" w:rsidRPr="00061B82">
        <w:rPr>
          <w:rFonts w:ascii="Arial" w:hAnsi="Arial" w:cs="Arial"/>
          <w:bCs/>
          <w:sz w:val="24"/>
          <w:szCs w:val="24"/>
        </w:rPr>
        <w:t>riginating</w:t>
      </w:r>
      <w:r w:rsidR="00BE4EC2" w:rsidRPr="00061B82">
        <w:rPr>
          <w:rFonts w:ascii="Arial" w:hAnsi="Arial" w:cs="Arial"/>
          <w:bCs/>
          <w:sz w:val="24"/>
          <w:szCs w:val="24"/>
        </w:rPr>
        <w:t xml:space="preserve"> from Simonswood</w:t>
      </w:r>
      <w:r w:rsidR="00774925" w:rsidRPr="00061B82">
        <w:rPr>
          <w:rFonts w:ascii="Arial" w:hAnsi="Arial" w:cs="Arial"/>
          <w:bCs/>
          <w:sz w:val="24"/>
          <w:szCs w:val="24"/>
        </w:rPr>
        <w:t xml:space="preserve"> Industrial Estate</w:t>
      </w:r>
      <w:r w:rsidR="00BE4EC2" w:rsidRPr="00061B82">
        <w:rPr>
          <w:rFonts w:ascii="Arial" w:hAnsi="Arial" w:cs="Arial"/>
          <w:bCs/>
          <w:sz w:val="24"/>
          <w:szCs w:val="24"/>
        </w:rPr>
        <w:t xml:space="preserve">.  </w:t>
      </w:r>
    </w:p>
    <w:p w14:paraId="73707E26" w14:textId="09CB72A4" w:rsidR="00774925" w:rsidRPr="00061B82" w:rsidRDefault="00774925" w:rsidP="007665D4">
      <w:pPr>
        <w:spacing w:after="0"/>
        <w:jc w:val="both"/>
        <w:rPr>
          <w:rFonts w:ascii="Arial" w:hAnsi="Arial" w:cs="Arial"/>
          <w:bCs/>
          <w:sz w:val="24"/>
          <w:szCs w:val="24"/>
        </w:rPr>
      </w:pPr>
    </w:p>
    <w:p w14:paraId="5CF9A0DE" w14:textId="612ADA42" w:rsidR="00D209F2" w:rsidRPr="00061B82" w:rsidRDefault="00D209F2" w:rsidP="007665D4">
      <w:pPr>
        <w:spacing w:after="0"/>
        <w:jc w:val="both"/>
        <w:rPr>
          <w:rFonts w:ascii="Arial" w:hAnsi="Arial" w:cs="Arial"/>
          <w:b/>
          <w:sz w:val="24"/>
          <w:szCs w:val="24"/>
        </w:rPr>
      </w:pPr>
      <w:r w:rsidRPr="00061B82">
        <w:rPr>
          <w:rFonts w:ascii="Arial" w:hAnsi="Arial" w:cs="Arial"/>
          <w:b/>
          <w:sz w:val="24"/>
          <w:szCs w:val="24"/>
        </w:rPr>
        <w:t>Recommendation</w:t>
      </w:r>
    </w:p>
    <w:p w14:paraId="4404137B" w14:textId="77777777" w:rsidR="00D209F2" w:rsidRPr="00061B82" w:rsidRDefault="00D209F2" w:rsidP="007665D4">
      <w:pPr>
        <w:spacing w:after="0"/>
        <w:jc w:val="both"/>
        <w:rPr>
          <w:rFonts w:ascii="Arial" w:hAnsi="Arial" w:cs="Arial"/>
          <w:bCs/>
          <w:sz w:val="24"/>
          <w:szCs w:val="24"/>
        </w:rPr>
      </w:pPr>
    </w:p>
    <w:p w14:paraId="69325B55" w14:textId="3EF880BC" w:rsidR="00774925" w:rsidRPr="00061B82" w:rsidRDefault="00774925" w:rsidP="007665D4">
      <w:pPr>
        <w:spacing w:after="0"/>
        <w:jc w:val="both"/>
        <w:rPr>
          <w:rFonts w:ascii="Arial" w:hAnsi="Arial" w:cs="Arial"/>
          <w:bCs/>
          <w:sz w:val="24"/>
          <w:szCs w:val="24"/>
        </w:rPr>
      </w:pPr>
      <w:r w:rsidRPr="00061B82">
        <w:rPr>
          <w:rFonts w:ascii="Arial" w:hAnsi="Arial" w:cs="Arial"/>
          <w:bCs/>
          <w:sz w:val="24"/>
          <w:szCs w:val="24"/>
        </w:rPr>
        <w:t>Additional condition</w:t>
      </w:r>
    </w:p>
    <w:p w14:paraId="5E6F7713" w14:textId="7537F861" w:rsidR="00774925" w:rsidRPr="00061B82" w:rsidRDefault="00774925" w:rsidP="007665D4">
      <w:pPr>
        <w:spacing w:after="0"/>
        <w:jc w:val="both"/>
        <w:rPr>
          <w:rFonts w:ascii="Arial" w:hAnsi="Arial" w:cs="Arial"/>
          <w:bCs/>
          <w:sz w:val="24"/>
          <w:szCs w:val="24"/>
        </w:rPr>
      </w:pPr>
    </w:p>
    <w:p w14:paraId="7F409154" w14:textId="2C572A65" w:rsidR="00774925" w:rsidRPr="00061B82" w:rsidRDefault="00774925" w:rsidP="007665D4">
      <w:pPr>
        <w:spacing w:after="0"/>
        <w:jc w:val="both"/>
        <w:rPr>
          <w:rFonts w:ascii="Arial" w:hAnsi="Arial" w:cs="Arial"/>
          <w:bCs/>
          <w:sz w:val="24"/>
          <w:szCs w:val="24"/>
        </w:rPr>
      </w:pPr>
      <w:r w:rsidRPr="00061B82">
        <w:rPr>
          <w:rFonts w:ascii="Arial" w:hAnsi="Arial" w:cs="Arial"/>
          <w:bCs/>
          <w:sz w:val="24"/>
          <w:szCs w:val="24"/>
        </w:rPr>
        <w:t xml:space="preserve">15. No demolition works on the </w:t>
      </w:r>
      <w:r w:rsidR="00D209F2" w:rsidRPr="00061B82">
        <w:rPr>
          <w:rFonts w:ascii="Arial" w:hAnsi="Arial" w:cs="Arial"/>
          <w:bCs/>
          <w:sz w:val="24"/>
          <w:szCs w:val="24"/>
        </w:rPr>
        <w:t>site</w:t>
      </w:r>
      <w:r w:rsidRPr="00061B82">
        <w:rPr>
          <w:rFonts w:ascii="Arial" w:hAnsi="Arial" w:cs="Arial"/>
          <w:bCs/>
          <w:sz w:val="24"/>
          <w:szCs w:val="24"/>
        </w:rPr>
        <w:t xml:space="preserve"> shall be undertaken between 1 March and 31 July unless the building has first been checked by a qualified ecologist and it has been confirmed that no breeding or nesting birds are present within the building.</w:t>
      </w:r>
    </w:p>
    <w:p w14:paraId="768697A7" w14:textId="2474E565" w:rsidR="00774925" w:rsidRPr="00061B82" w:rsidRDefault="00774925" w:rsidP="007665D4">
      <w:pPr>
        <w:spacing w:after="0"/>
        <w:jc w:val="both"/>
        <w:rPr>
          <w:rFonts w:ascii="Arial" w:hAnsi="Arial" w:cs="Arial"/>
          <w:bCs/>
          <w:sz w:val="24"/>
          <w:szCs w:val="24"/>
        </w:rPr>
      </w:pPr>
    </w:p>
    <w:p w14:paraId="1031A929" w14:textId="27022A00" w:rsidR="00D14249" w:rsidRPr="0055664D" w:rsidRDefault="00061B82" w:rsidP="00D14249">
      <w:pPr>
        <w:spacing w:after="0"/>
        <w:jc w:val="both"/>
        <w:rPr>
          <w:rFonts w:ascii="Arial" w:hAnsi="Arial" w:cs="Arial"/>
          <w:bCs/>
          <w:i/>
          <w:iCs/>
          <w:sz w:val="24"/>
          <w:szCs w:val="24"/>
        </w:rPr>
      </w:pPr>
      <w:r w:rsidRPr="00061B82">
        <w:rPr>
          <w:rFonts w:ascii="Arial" w:hAnsi="Arial" w:cs="Arial"/>
          <w:bCs/>
          <w:i/>
          <w:iCs/>
          <w:sz w:val="24"/>
          <w:szCs w:val="24"/>
        </w:rPr>
        <w:t>Reason:</w:t>
      </w:r>
      <w:r w:rsidR="00774925" w:rsidRPr="00061B82">
        <w:rPr>
          <w:rFonts w:ascii="Arial" w:hAnsi="Arial" w:cs="Arial"/>
          <w:bCs/>
          <w:i/>
          <w:iCs/>
          <w:sz w:val="24"/>
          <w:szCs w:val="24"/>
        </w:rPr>
        <w:t xml:space="preserve"> In the interests of ecology and to confo</w:t>
      </w:r>
      <w:r w:rsidR="00D209F2" w:rsidRPr="00061B82">
        <w:rPr>
          <w:rFonts w:ascii="Arial" w:hAnsi="Arial" w:cs="Arial"/>
          <w:bCs/>
          <w:i/>
          <w:iCs/>
          <w:sz w:val="24"/>
          <w:szCs w:val="24"/>
        </w:rPr>
        <w:t>rm with Policy DM2 of the Joint Lancashire Mineral and Waste Local Plan.</w:t>
      </w:r>
    </w:p>
    <w:p w14:paraId="377DD7E3" w14:textId="77777777" w:rsidR="00D14249" w:rsidRPr="00061B82" w:rsidRDefault="00D14249" w:rsidP="00D14249">
      <w:pPr>
        <w:spacing w:after="0"/>
        <w:jc w:val="both"/>
        <w:rPr>
          <w:rFonts w:ascii="Arial" w:hAnsi="Arial" w:cs="Arial"/>
          <w:bCs/>
          <w:sz w:val="24"/>
          <w:szCs w:val="24"/>
        </w:rPr>
      </w:pPr>
    </w:p>
    <w:p w14:paraId="0D3442C1" w14:textId="16BC40D0" w:rsidR="00F32C0C" w:rsidRPr="00061B82" w:rsidRDefault="00973712" w:rsidP="00973712">
      <w:pPr>
        <w:spacing w:after="0"/>
        <w:jc w:val="both"/>
        <w:rPr>
          <w:rFonts w:ascii="Arial" w:hAnsi="Arial" w:cs="Arial"/>
          <w:bCs/>
          <w:sz w:val="24"/>
          <w:szCs w:val="24"/>
        </w:rPr>
      </w:pPr>
      <w:r w:rsidRPr="00061B82">
        <w:rPr>
          <w:rFonts w:ascii="Arial" w:hAnsi="Arial" w:cs="Arial"/>
          <w:bCs/>
          <w:sz w:val="24"/>
          <w:szCs w:val="24"/>
        </w:rPr>
        <w:t xml:space="preserve"> </w:t>
      </w:r>
    </w:p>
    <w:p w14:paraId="1B5AE997" w14:textId="09BFF8F6" w:rsidR="00474A0F" w:rsidRPr="00061B82" w:rsidRDefault="00474A0F" w:rsidP="00597A11">
      <w:pPr>
        <w:spacing w:after="0"/>
        <w:jc w:val="both"/>
        <w:rPr>
          <w:rFonts w:ascii="Arial" w:hAnsi="Arial" w:cs="Arial"/>
          <w:bCs/>
          <w:sz w:val="24"/>
          <w:szCs w:val="24"/>
        </w:rPr>
      </w:pPr>
    </w:p>
    <w:p w14:paraId="24BEA433" w14:textId="77777777" w:rsidR="00474A0F" w:rsidRPr="00061B82" w:rsidRDefault="00474A0F" w:rsidP="00597A11">
      <w:pPr>
        <w:spacing w:after="0"/>
        <w:jc w:val="both"/>
        <w:rPr>
          <w:rFonts w:ascii="Arial" w:hAnsi="Arial" w:cs="Arial"/>
          <w:bCs/>
          <w:sz w:val="24"/>
          <w:szCs w:val="24"/>
        </w:rPr>
      </w:pPr>
    </w:p>
    <w:p w14:paraId="592B3444" w14:textId="698109D0" w:rsidR="009F5840" w:rsidRPr="00061B82" w:rsidRDefault="009F5840" w:rsidP="00597A11">
      <w:pPr>
        <w:spacing w:after="0"/>
        <w:jc w:val="both"/>
        <w:rPr>
          <w:rFonts w:ascii="Arial" w:hAnsi="Arial" w:cs="Arial"/>
          <w:bCs/>
          <w:sz w:val="24"/>
          <w:szCs w:val="24"/>
        </w:rPr>
      </w:pPr>
    </w:p>
    <w:p w14:paraId="16626D19" w14:textId="77777777" w:rsidR="009F5840" w:rsidRPr="00061B82" w:rsidRDefault="009F5840" w:rsidP="00597A11">
      <w:pPr>
        <w:spacing w:after="0"/>
        <w:jc w:val="both"/>
        <w:rPr>
          <w:rFonts w:ascii="Arial" w:hAnsi="Arial" w:cs="Arial"/>
          <w:bCs/>
          <w:sz w:val="24"/>
          <w:szCs w:val="24"/>
        </w:rPr>
      </w:pPr>
    </w:p>
    <w:p w14:paraId="4313AB0E" w14:textId="6496027D" w:rsidR="009F5840" w:rsidRPr="00061B82" w:rsidRDefault="009F5840" w:rsidP="00597A11">
      <w:pPr>
        <w:spacing w:after="0"/>
        <w:jc w:val="both"/>
        <w:rPr>
          <w:rFonts w:ascii="Arial" w:hAnsi="Arial" w:cs="Arial"/>
          <w:b/>
          <w:sz w:val="24"/>
          <w:szCs w:val="24"/>
        </w:rPr>
      </w:pPr>
    </w:p>
    <w:p w14:paraId="69EA5D69" w14:textId="77777777" w:rsidR="009F5840" w:rsidRPr="00061B82" w:rsidRDefault="009F5840" w:rsidP="00597A11">
      <w:pPr>
        <w:spacing w:after="0"/>
        <w:jc w:val="both"/>
        <w:rPr>
          <w:rFonts w:ascii="Arial" w:hAnsi="Arial" w:cs="Arial"/>
          <w:b/>
          <w:i/>
          <w:iCs/>
          <w:sz w:val="24"/>
          <w:szCs w:val="24"/>
        </w:rPr>
      </w:pPr>
    </w:p>
    <w:sectPr w:rsidR="009F5840" w:rsidRPr="00061B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220C"/>
    <w:multiLevelType w:val="hybridMultilevel"/>
    <w:tmpl w:val="D2580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13213D"/>
    <w:multiLevelType w:val="hybridMultilevel"/>
    <w:tmpl w:val="8070D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536E4"/>
    <w:multiLevelType w:val="hybridMultilevel"/>
    <w:tmpl w:val="01E4C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B6C0C"/>
    <w:multiLevelType w:val="hybridMultilevel"/>
    <w:tmpl w:val="97DC6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86943E2"/>
    <w:multiLevelType w:val="hybridMultilevel"/>
    <w:tmpl w:val="DA0A3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9D022B"/>
    <w:multiLevelType w:val="hybridMultilevel"/>
    <w:tmpl w:val="BA749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6278EF"/>
    <w:multiLevelType w:val="hybridMultilevel"/>
    <w:tmpl w:val="2902AA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406CD9"/>
    <w:multiLevelType w:val="hybridMultilevel"/>
    <w:tmpl w:val="2A568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0D012C"/>
    <w:multiLevelType w:val="hybridMultilevel"/>
    <w:tmpl w:val="5838AD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280D38"/>
    <w:multiLevelType w:val="hybridMultilevel"/>
    <w:tmpl w:val="8392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B16C6A"/>
    <w:multiLevelType w:val="hybridMultilevel"/>
    <w:tmpl w:val="F352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793DB9"/>
    <w:multiLevelType w:val="hybridMultilevel"/>
    <w:tmpl w:val="57D0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372E69"/>
    <w:multiLevelType w:val="hybridMultilevel"/>
    <w:tmpl w:val="439C3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9E0382"/>
    <w:multiLevelType w:val="hybridMultilevel"/>
    <w:tmpl w:val="A63E1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C81CAC"/>
    <w:multiLevelType w:val="hybridMultilevel"/>
    <w:tmpl w:val="36D4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4E638B"/>
    <w:multiLevelType w:val="hybridMultilevel"/>
    <w:tmpl w:val="9262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5"/>
  </w:num>
  <w:num w:numId="4">
    <w:abstractNumId w:val="0"/>
  </w:num>
  <w:num w:numId="5">
    <w:abstractNumId w:val="10"/>
  </w:num>
  <w:num w:numId="6">
    <w:abstractNumId w:val="12"/>
  </w:num>
  <w:num w:numId="7">
    <w:abstractNumId w:val="14"/>
  </w:num>
  <w:num w:numId="8">
    <w:abstractNumId w:val="7"/>
  </w:num>
  <w:num w:numId="9">
    <w:abstractNumId w:val="8"/>
  </w:num>
  <w:num w:numId="10">
    <w:abstractNumId w:val="13"/>
  </w:num>
  <w:num w:numId="11">
    <w:abstractNumId w:val="6"/>
  </w:num>
  <w:num w:numId="12">
    <w:abstractNumId w:val="3"/>
  </w:num>
  <w:num w:numId="13">
    <w:abstractNumId w:val="9"/>
  </w:num>
  <w:num w:numId="14">
    <w:abstractNumId w:val="1"/>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F6F"/>
    <w:rsid w:val="00002929"/>
    <w:rsid w:val="000121C4"/>
    <w:rsid w:val="000226B9"/>
    <w:rsid w:val="0002765A"/>
    <w:rsid w:val="00043952"/>
    <w:rsid w:val="00045F40"/>
    <w:rsid w:val="00061B82"/>
    <w:rsid w:val="000A4BD6"/>
    <w:rsid w:val="000C02A6"/>
    <w:rsid w:val="000F1E64"/>
    <w:rsid w:val="000F5905"/>
    <w:rsid w:val="000F6483"/>
    <w:rsid w:val="00113CE6"/>
    <w:rsid w:val="00116693"/>
    <w:rsid w:val="0013181B"/>
    <w:rsid w:val="00133678"/>
    <w:rsid w:val="00150B73"/>
    <w:rsid w:val="00153121"/>
    <w:rsid w:val="001A1E93"/>
    <w:rsid w:val="001A2F8B"/>
    <w:rsid w:val="001B0645"/>
    <w:rsid w:val="001C0554"/>
    <w:rsid w:val="001C5258"/>
    <w:rsid w:val="001D5830"/>
    <w:rsid w:val="001E658D"/>
    <w:rsid w:val="001F0668"/>
    <w:rsid w:val="001F52FD"/>
    <w:rsid w:val="001F6AF3"/>
    <w:rsid w:val="00224CA8"/>
    <w:rsid w:val="00244781"/>
    <w:rsid w:val="00245BE9"/>
    <w:rsid w:val="00250504"/>
    <w:rsid w:val="002536B6"/>
    <w:rsid w:val="00273A01"/>
    <w:rsid w:val="002844C0"/>
    <w:rsid w:val="002C48AA"/>
    <w:rsid w:val="002F4F5C"/>
    <w:rsid w:val="00302E34"/>
    <w:rsid w:val="00307C0B"/>
    <w:rsid w:val="00320D73"/>
    <w:rsid w:val="00351EA6"/>
    <w:rsid w:val="00352F69"/>
    <w:rsid w:val="00354384"/>
    <w:rsid w:val="00354F3C"/>
    <w:rsid w:val="00356440"/>
    <w:rsid w:val="00392781"/>
    <w:rsid w:val="003C26B1"/>
    <w:rsid w:val="003D4777"/>
    <w:rsid w:val="003F5045"/>
    <w:rsid w:val="00415061"/>
    <w:rsid w:val="00423DCB"/>
    <w:rsid w:val="00426FDD"/>
    <w:rsid w:val="00434EF7"/>
    <w:rsid w:val="00453618"/>
    <w:rsid w:val="0046272A"/>
    <w:rsid w:val="00474A0F"/>
    <w:rsid w:val="00477316"/>
    <w:rsid w:val="004905FA"/>
    <w:rsid w:val="004B2EBE"/>
    <w:rsid w:val="004D514D"/>
    <w:rsid w:val="004E36F4"/>
    <w:rsid w:val="004F4B1A"/>
    <w:rsid w:val="004F7234"/>
    <w:rsid w:val="00516CD6"/>
    <w:rsid w:val="00553E11"/>
    <w:rsid w:val="0055664D"/>
    <w:rsid w:val="00573D7B"/>
    <w:rsid w:val="00595B75"/>
    <w:rsid w:val="00597A11"/>
    <w:rsid w:val="005A3191"/>
    <w:rsid w:val="005A44CF"/>
    <w:rsid w:val="005C1BCB"/>
    <w:rsid w:val="005E56A0"/>
    <w:rsid w:val="005F2E00"/>
    <w:rsid w:val="005F5EE2"/>
    <w:rsid w:val="00611E72"/>
    <w:rsid w:val="00620628"/>
    <w:rsid w:val="00625976"/>
    <w:rsid w:val="00637A70"/>
    <w:rsid w:val="006415F6"/>
    <w:rsid w:val="006929B8"/>
    <w:rsid w:val="006B3D88"/>
    <w:rsid w:val="006B7EE5"/>
    <w:rsid w:val="006D1977"/>
    <w:rsid w:val="006E3F6F"/>
    <w:rsid w:val="007209C9"/>
    <w:rsid w:val="00724A50"/>
    <w:rsid w:val="0073078D"/>
    <w:rsid w:val="00750998"/>
    <w:rsid w:val="00752A2D"/>
    <w:rsid w:val="007665D4"/>
    <w:rsid w:val="00774925"/>
    <w:rsid w:val="00783536"/>
    <w:rsid w:val="00786320"/>
    <w:rsid w:val="00786719"/>
    <w:rsid w:val="007968B0"/>
    <w:rsid w:val="007B113F"/>
    <w:rsid w:val="007B1FA6"/>
    <w:rsid w:val="007D36BC"/>
    <w:rsid w:val="007D69BC"/>
    <w:rsid w:val="007F2F93"/>
    <w:rsid w:val="007F662B"/>
    <w:rsid w:val="0080646F"/>
    <w:rsid w:val="0082235F"/>
    <w:rsid w:val="008332B1"/>
    <w:rsid w:val="00846E76"/>
    <w:rsid w:val="00860D49"/>
    <w:rsid w:val="00861DEE"/>
    <w:rsid w:val="00871247"/>
    <w:rsid w:val="00871C38"/>
    <w:rsid w:val="008940EF"/>
    <w:rsid w:val="008F0770"/>
    <w:rsid w:val="008F16FB"/>
    <w:rsid w:val="009627CD"/>
    <w:rsid w:val="00973712"/>
    <w:rsid w:val="00985A70"/>
    <w:rsid w:val="00986CD7"/>
    <w:rsid w:val="009A1A95"/>
    <w:rsid w:val="009B5125"/>
    <w:rsid w:val="009C0009"/>
    <w:rsid w:val="009E6595"/>
    <w:rsid w:val="009F5840"/>
    <w:rsid w:val="009F7581"/>
    <w:rsid w:val="00A1230A"/>
    <w:rsid w:val="00A14B5B"/>
    <w:rsid w:val="00A37D0F"/>
    <w:rsid w:val="00A46D6E"/>
    <w:rsid w:val="00A5464C"/>
    <w:rsid w:val="00A64961"/>
    <w:rsid w:val="00A64B29"/>
    <w:rsid w:val="00A66B73"/>
    <w:rsid w:val="00A67624"/>
    <w:rsid w:val="00A841D2"/>
    <w:rsid w:val="00AA7904"/>
    <w:rsid w:val="00AC0EBE"/>
    <w:rsid w:val="00AD02B6"/>
    <w:rsid w:val="00AD16AA"/>
    <w:rsid w:val="00AE3F23"/>
    <w:rsid w:val="00AF2AB5"/>
    <w:rsid w:val="00B0050D"/>
    <w:rsid w:val="00B04839"/>
    <w:rsid w:val="00B127DA"/>
    <w:rsid w:val="00B25A0F"/>
    <w:rsid w:val="00B25F9B"/>
    <w:rsid w:val="00B376C9"/>
    <w:rsid w:val="00B5687F"/>
    <w:rsid w:val="00B6495D"/>
    <w:rsid w:val="00B71A18"/>
    <w:rsid w:val="00BA4FDE"/>
    <w:rsid w:val="00BA7DC2"/>
    <w:rsid w:val="00BE4EC2"/>
    <w:rsid w:val="00BF0840"/>
    <w:rsid w:val="00C243F9"/>
    <w:rsid w:val="00C2595A"/>
    <w:rsid w:val="00C51CD4"/>
    <w:rsid w:val="00C6118E"/>
    <w:rsid w:val="00C65B96"/>
    <w:rsid w:val="00CB265F"/>
    <w:rsid w:val="00CB6ED8"/>
    <w:rsid w:val="00CC7F97"/>
    <w:rsid w:val="00CD0E52"/>
    <w:rsid w:val="00CE496E"/>
    <w:rsid w:val="00CF5C91"/>
    <w:rsid w:val="00D136C0"/>
    <w:rsid w:val="00D14249"/>
    <w:rsid w:val="00D1648C"/>
    <w:rsid w:val="00D209F2"/>
    <w:rsid w:val="00D34DC7"/>
    <w:rsid w:val="00D45652"/>
    <w:rsid w:val="00D6476D"/>
    <w:rsid w:val="00D947D0"/>
    <w:rsid w:val="00DA09DB"/>
    <w:rsid w:val="00DA0EB0"/>
    <w:rsid w:val="00DA4220"/>
    <w:rsid w:val="00DB0185"/>
    <w:rsid w:val="00DD1DEB"/>
    <w:rsid w:val="00DD57C1"/>
    <w:rsid w:val="00DE0936"/>
    <w:rsid w:val="00DE1AE9"/>
    <w:rsid w:val="00DE3D5B"/>
    <w:rsid w:val="00DF2603"/>
    <w:rsid w:val="00E21B46"/>
    <w:rsid w:val="00E278DA"/>
    <w:rsid w:val="00E33B4E"/>
    <w:rsid w:val="00E3525E"/>
    <w:rsid w:val="00E409B4"/>
    <w:rsid w:val="00E449D4"/>
    <w:rsid w:val="00E506AD"/>
    <w:rsid w:val="00E52BDF"/>
    <w:rsid w:val="00E625A3"/>
    <w:rsid w:val="00E7787A"/>
    <w:rsid w:val="00E90038"/>
    <w:rsid w:val="00E904B8"/>
    <w:rsid w:val="00E97CBA"/>
    <w:rsid w:val="00ED370F"/>
    <w:rsid w:val="00EF47FE"/>
    <w:rsid w:val="00F12656"/>
    <w:rsid w:val="00F2061F"/>
    <w:rsid w:val="00F23336"/>
    <w:rsid w:val="00F321CD"/>
    <w:rsid w:val="00F32C0C"/>
    <w:rsid w:val="00F340D3"/>
    <w:rsid w:val="00F42EB4"/>
    <w:rsid w:val="00F516E8"/>
    <w:rsid w:val="00F73E24"/>
    <w:rsid w:val="00F84ABB"/>
    <w:rsid w:val="00F87BA0"/>
    <w:rsid w:val="00FA3176"/>
    <w:rsid w:val="00FA413B"/>
    <w:rsid w:val="00FE0A16"/>
    <w:rsid w:val="00FE166B"/>
    <w:rsid w:val="00FF247E"/>
    <w:rsid w:val="00FF6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D74D9"/>
  <w15:chartTrackingRefBased/>
  <w15:docId w15:val="{1FC78096-CD84-4888-AD8E-F9224F52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9B4"/>
    <w:rPr>
      <w:rFonts w:ascii="Segoe UI" w:hAnsi="Segoe UI" w:cs="Segoe UI"/>
      <w:sz w:val="18"/>
      <w:szCs w:val="18"/>
    </w:rPr>
  </w:style>
  <w:style w:type="paragraph" w:styleId="ListParagraph">
    <w:name w:val="List Paragraph"/>
    <w:basedOn w:val="Normal"/>
    <w:uiPriority w:val="34"/>
    <w:qFormat/>
    <w:rsid w:val="004F7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14815">
      <w:bodyDiv w:val="1"/>
      <w:marLeft w:val="0"/>
      <w:marRight w:val="0"/>
      <w:marTop w:val="0"/>
      <w:marBottom w:val="0"/>
      <w:divBdr>
        <w:top w:val="none" w:sz="0" w:space="0" w:color="auto"/>
        <w:left w:val="none" w:sz="0" w:space="0" w:color="auto"/>
        <w:bottom w:val="none" w:sz="0" w:space="0" w:color="auto"/>
        <w:right w:val="none" w:sz="0" w:space="0" w:color="auto"/>
      </w:divBdr>
    </w:div>
    <w:div w:id="377054005">
      <w:bodyDiv w:val="1"/>
      <w:marLeft w:val="0"/>
      <w:marRight w:val="0"/>
      <w:marTop w:val="0"/>
      <w:marBottom w:val="0"/>
      <w:divBdr>
        <w:top w:val="none" w:sz="0" w:space="0" w:color="auto"/>
        <w:left w:val="none" w:sz="0" w:space="0" w:color="auto"/>
        <w:bottom w:val="none" w:sz="0" w:space="0" w:color="auto"/>
        <w:right w:val="none" w:sz="0" w:space="0" w:color="auto"/>
      </w:divBdr>
    </w:div>
    <w:div w:id="418603199">
      <w:bodyDiv w:val="1"/>
      <w:marLeft w:val="0"/>
      <w:marRight w:val="0"/>
      <w:marTop w:val="0"/>
      <w:marBottom w:val="0"/>
      <w:divBdr>
        <w:top w:val="none" w:sz="0" w:space="0" w:color="auto"/>
        <w:left w:val="none" w:sz="0" w:space="0" w:color="auto"/>
        <w:bottom w:val="none" w:sz="0" w:space="0" w:color="auto"/>
        <w:right w:val="none" w:sz="0" w:space="0" w:color="auto"/>
      </w:divBdr>
    </w:div>
    <w:div w:id="1021203900">
      <w:bodyDiv w:val="1"/>
      <w:marLeft w:val="0"/>
      <w:marRight w:val="0"/>
      <w:marTop w:val="0"/>
      <w:marBottom w:val="0"/>
      <w:divBdr>
        <w:top w:val="none" w:sz="0" w:space="0" w:color="auto"/>
        <w:left w:val="none" w:sz="0" w:space="0" w:color="auto"/>
        <w:bottom w:val="none" w:sz="0" w:space="0" w:color="auto"/>
        <w:right w:val="none" w:sz="0" w:space="0" w:color="auto"/>
      </w:divBdr>
    </w:div>
    <w:div w:id="1735543521">
      <w:bodyDiv w:val="1"/>
      <w:marLeft w:val="0"/>
      <w:marRight w:val="0"/>
      <w:marTop w:val="0"/>
      <w:marBottom w:val="0"/>
      <w:divBdr>
        <w:top w:val="none" w:sz="0" w:space="0" w:color="auto"/>
        <w:left w:val="none" w:sz="0" w:space="0" w:color="auto"/>
        <w:bottom w:val="none" w:sz="0" w:space="0" w:color="auto"/>
        <w:right w:val="none" w:sz="0" w:space="0" w:color="auto"/>
      </w:divBdr>
    </w:div>
    <w:div w:id="1862434389">
      <w:bodyDiv w:val="1"/>
      <w:marLeft w:val="0"/>
      <w:marRight w:val="0"/>
      <w:marTop w:val="0"/>
      <w:marBottom w:val="0"/>
      <w:divBdr>
        <w:top w:val="none" w:sz="0" w:space="0" w:color="auto"/>
        <w:left w:val="none" w:sz="0" w:space="0" w:color="auto"/>
        <w:bottom w:val="none" w:sz="0" w:space="0" w:color="auto"/>
        <w:right w:val="none" w:sz="0" w:space="0" w:color="auto"/>
      </w:divBdr>
    </w:div>
    <w:div w:id="209859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980C9-8306-46AD-A934-4BE881BF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1482</Words>
  <Characters>8453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Haine, Jonathan</dc:creator>
  <cp:keywords/>
  <dc:description/>
  <cp:lastModifiedBy>Gorton, Sam</cp:lastModifiedBy>
  <cp:revision>2</cp:revision>
  <cp:lastPrinted>2020-07-14T16:49:00Z</cp:lastPrinted>
  <dcterms:created xsi:type="dcterms:W3CDTF">2022-12-06T17:09:00Z</dcterms:created>
  <dcterms:modified xsi:type="dcterms:W3CDTF">2022-12-06T17:09:00Z</dcterms:modified>
</cp:coreProperties>
</file>